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5" w:type="dxa"/>
        <w:tblInd w:w="70" w:type="dxa"/>
        <w:tblLayout w:type="fixed"/>
        <w:tblCellMar>
          <w:left w:w="115" w:type="dxa"/>
          <w:right w:w="115" w:type="dxa"/>
        </w:tblCellMar>
        <w:tblLook w:val="01E0" w:firstRow="1" w:lastRow="1" w:firstColumn="1" w:lastColumn="1" w:noHBand="0" w:noVBand="0"/>
      </w:tblPr>
      <w:tblGrid>
        <w:gridCol w:w="1888"/>
        <w:gridCol w:w="113"/>
        <w:gridCol w:w="2152"/>
        <w:gridCol w:w="850"/>
        <w:gridCol w:w="709"/>
        <w:gridCol w:w="1558"/>
        <w:gridCol w:w="425"/>
        <w:gridCol w:w="567"/>
        <w:gridCol w:w="522"/>
        <w:gridCol w:w="1211"/>
      </w:tblGrid>
      <w:tr w:rsidR="00B4309F" w14:paraId="13889D2B" w14:textId="77777777" w:rsidTr="00B4309F">
        <w:tc>
          <w:tcPr>
            <w:tcW w:w="9995" w:type="dxa"/>
            <w:gridSpan w:val="10"/>
          </w:tcPr>
          <w:p w14:paraId="257EFBA5" w14:textId="77777777" w:rsidR="00B4309F" w:rsidRDefault="00B4309F" w:rsidP="00FD0561">
            <w:pPr>
              <w:jc w:val="right"/>
              <w:rPr>
                <w:rFonts w:ascii="Cambria" w:hAnsi="Cambria" w:cs="Arial"/>
                <w:sz w:val="22"/>
                <w:szCs w:val="22"/>
              </w:rPr>
            </w:pPr>
          </w:p>
        </w:tc>
      </w:tr>
      <w:tr w:rsidR="00B4309F" w14:paraId="21277ECB" w14:textId="77777777" w:rsidTr="00B4309F">
        <w:tc>
          <w:tcPr>
            <w:tcW w:w="9995" w:type="dxa"/>
            <w:gridSpan w:val="10"/>
            <w:hideMark/>
          </w:tcPr>
          <w:p w14:paraId="7B02453F" w14:textId="77777777" w:rsidR="00B4309F" w:rsidRDefault="00B4309F" w:rsidP="00FD0561">
            <w:pPr>
              <w:jc w:val="center"/>
              <w:rPr>
                <w:rFonts w:ascii="Cambria" w:hAnsi="Cambria" w:cs="Arial"/>
                <w:b/>
                <w:bCs/>
                <w:sz w:val="22"/>
                <w:szCs w:val="22"/>
                <w:u w:val="single"/>
              </w:rPr>
            </w:pPr>
            <w:r>
              <w:rPr>
                <w:rFonts w:ascii="Cambria" w:hAnsi="Cambria" w:cs="Arial"/>
                <w:b/>
                <w:bCs/>
                <w:sz w:val="22"/>
                <w:szCs w:val="22"/>
                <w:u w:val="single"/>
              </w:rPr>
              <w:t>TERMS OF REFERENCE</w:t>
            </w:r>
          </w:p>
        </w:tc>
      </w:tr>
      <w:tr w:rsidR="00B4309F" w14:paraId="16F6589E" w14:textId="77777777" w:rsidTr="00B4309F">
        <w:tc>
          <w:tcPr>
            <w:tcW w:w="9995" w:type="dxa"/>
            <w:gridSpan w:val="10"/>
          </w:tcPr>
          <w:p w14:paraId="033803CC" w14:textId="77777777" w:rsidR="00B4309F" w:rsidRDefault="00B4309F" w:rsidP="00FD0561">
            <w:pPr>
              <w:rPr>
                <w:rFonts w:ascii="Cambria" w:hAnsi="Cambria" w:cs="Arial"/>
                <w:b/>
                <w:bCs/>
                <w:sz w:val="22"/>
                <w:szCs w:val="22"/>
                <w:u w:val="single"/>
              </w:rPr>
            </w:pPr>
          </w:p>
        </w:tc>
      </w:tr>
      <w:tr w:rsidR="00B4309F" w:rsidRPr="00B4309F" w14:paraId="6D9A1814" w14:textId="77777777" w:rsidTr="00B4309F">
        <w:tc>
          <w:tcPr>
            <w:tcW w:w="2001" w:type="dxa"/>
            <w:gridSpan w:val="2"/>
            <w:tcBorders>
              <w:top w:val="single" w:sz="4" w:space="0" w:color="auto"/>
              <w:left w:val="single" w:sz="4" w:space="0" w:color="auto"/>
              <w:bottom w:val="single" w:sz="4" w:space="0" w:color="auto"/>
              <w:right w:val="single" w:sz="4" w:space="0" w:color="auto"/>
            </w:tcBorders>
            <w:hideMark/>
          </w:tcPr>
          <w:p w14:paraId="03B25F06" w14:textId="77777777" w:rsidR="00B4309F" w:rsidRPr="00B4309F" w:rsidRDefault="00B4309F" w:rsidP="00FD0561">
            <w:pPr>
              <w:rPr>
                <w:rFonts w:ascii="Cambria" w:hAnsi="Cambria" w:cs="Arial"/>
                <w:b/>
                <w:sz w:val="22"/>
                <w:szCs w:val="22"/>
              </w:rPr>
            </w:pPr>
            <w:r w:rsidRPr="00B4309F">
              <w:rPr>
                <w:rFonts w:ascii="Cambria" w:hAnsi="Cambria" w:cs="Arial"/>
                <w:b/>
                <w:sz w:val="22"/>
                <w:szCs w:val="22"/>
              </w:rPr>
              <w:t>Contract</w:t>
            </w:r>
          </w:p>
        </w:tc>
        <w:tc>
          <w:tcPr>
            <w:tcW w:w="7994" w:type="dxa"/>
            <w:gridSpan w:val="8"/>
            <w:tcBorders>
              <w:top w:val="single" w:sz="4" w:space="0" w:color="auto"/>
              <w:left w:val="single" w:sz="4" w:space="0" w:color="auto"/>
              <w:bottom w:val="single" w:sz="4" w:space="0" w:color="auto"/>
              <w:right w:val="single" w:sz="4" w:space="0" w:color="auto"/>
            </w:tcBorders>
            <w:hideMark/>
          </w:tcPr>
          <w:p w14:paraId="6CF42771" w14:textId="77777777" w:rsidR="00B4309F" w:rsidRPr="00B4309F" w:rsidRDefault="00B4309F" w:rsidP="00FD0561">
            <w:pPr>
              <w:rPr>
                <w:rFonts w:ascii="Cambria" w:hAnsi="Cambria" w:cs="Arial"/>
                <w:b/>
                <w:sz w:val="22"/>
                <w:szCs w:val="22"/>
                <w:highlight w:val="yellow"/>
                <w:u w:val="single"/>
              </w:rPr>
            </w:pPr>
            <w:r w:rsidRPr="00B4309F">
              <w:rPr>
                <w:rStyle w:val="normaltextrun"/>
                <w:rFonts w:ascii="Cambria" w:hAnsi="Cambria"/>
                <w:b/>
                <w:color w:val="000000"/>
                <w:sz w:val="22"/>
                <w:szCs w:val="22"/>
                <w:shd w:val="clear" w:color="auto" w:fill="FFFFFF"/>
              </w:rPr>
              <w:t>IC</w:t>
            </w:r>
            <w:r w:rsidRPr="00B4309F">
              <w:rPr>
                <w:rStyle w:val="normaltextrun"/>
                <w:rFonts w:ascii="Cambria" w:hAnsi="Cambria"/>
                <w:b/>
                <w:color w:val="000000"/>
                <w:sz w:val="22"/>
                <w:szCs w:val="22"/>
                <w:shd w:val="clear" w:color="auto" w:fill="FFFF00"/>
              </w:rPr>
              <w:t>/___/___</w:t>
            </w:r>
          </w:p>
        </w:tc>
      </w:tr>
      <w:tr w:rsidR="00B4309F" w:rsidRPr="00B4309F" w14:paraId="0B3024A5" w14:textId="77777777" w:rsidTr="00B4309F">
        <w:tc>
          <w:tcPr>
            <w:tcW w:w="2001" w:type="dxa"/>
            <w:gridSpan w:val="2"/>
            <w:tcBorders>
              <w:top w:val="single" w:sz="4" w:space="0" w:color="auto"/>
              <w:left w:val="single" w:sz="4" w:space="0" w:color="auto"/>
              <w:bottom w:val="single" w:sz="4" w:space="0" w:color="auto"/>
              <w:right w:val="single" w:sz="4" w:space="0" w:color="auto"/>
            </w:tcBorders>
            <w:hideMark/>
          </w:tcPr>
          <w:p w14:paraId="4B9AA52F" w14:textId="77777777" w:rsidR="00B4309F" w:rsidRPr="00B4309F" w:rsidRDefault="00B4309F" w:rsidP="00FD0561">
            <w:pPr>
              <w:rPr>
                <w:rFonts w:ascii="Cambria" w:hAnsi="Cambria" w:cs="Arial"/>
                <w:b/>
                <w:bCs/>
                <w:sz w:val="22"/>
                <w:szCs w:val="22"/>
              </w:rPr>
            </w:pPr>
            <w:r w:rsidRPr="00B4309F">
              <w:rPr>
                <w:rFonts w:ascii="Cambria" w:hAnsi="Cambria" w:cs="Arial"/>
                <w:b/>
                <w:bCs/>
                <w:sz w:val="22"/>
                <w:szCs w:val="22"/>
              </w:rPr>
              <w:t>Expertise</w:t>
            </w:r>
          </w:p>
        </w:tc>
        <w:tc>
          <w:tcPr>
            <w:tcW w:w="7994" w:type="dxa"/>
            <w:gridSpan w:val="8"/>
            <w:tcBorders>
              <w:top w:val="single" w:sz="4" w:space="0" w:color="auto"/>
              <w:left w:val="single" w:sz="4" w:space="0" w:color="auto"/>
              <w:bottom w:val="single" w:sz="4" w:space="0" w:color="auto"/>
              <w:right w:val="single" w:sz="4" w:space="0" w:color="auto"/>
            </w:tcBorders>
            <w:hideMark/>
          </w:tcPr>
          <w:p w14:paraId="06BFE7E6" w14:textId="77777777" w:rsidR="00B4309F" w:rsidRPr="00B4309F" w:rsidRDefault="00B4309F" w:rsidP="00FD0561">
            <w:pPr>
              <w:rPr>
                <w:rFonts w:ascii="Cambria" w:hAnsi="Cambria" w:cs="Arial"/>
                <w:b/>
                <w:bCs/>
                <w:sz w:val="22"/>
                <w:szCs w:val="22"/>
                <w:highlight w:val="yellow"/>
              </w:rPr>
            </w:pPr>
            <w:r w:rsidRPr="00B4309F">
              <w:rPr>
                <w:rFonts w:ascii="Cambria" w:hAnsi="Cambria" w:cs="Arial"/>
                <w:b/>
                <w:bCs/>
                <w:sz w:val="22"/>
                <w:szCs w:val="22"/>
                <w:highlight w:val="yellow"/>
              </w:rPr>
              <w:t xml:space="preserve">Consultant for the independent evaluation of the GCF’s Simplified </w:t>
            </w:r>
            <w:proofErr w:type="gramStart"/>
            <w:r w:rsidRPr="00B4309F">
              <w:rPr>
                <w:rFonts w:ascii="Cambria" w:hAnsi="Cambria" w:cs="Arial"/>
                <w:b/>
                <w:bCs/>
                <w:sz w:val="22"/>
                <w:szCs w:val="22"/>
                <w:highlight w:val="yellow"/>
              </w:rPr>
              <w:t>Approval  Process</w:t>
            </w:r>
            <w:proofErr w:type="gramEnd"/>
            <w:r w:rsidRPr="00B4309F">
              <w:rPr>
                <w:rFonts w:ascii="Cambria" w:hAnsi="Cambria" w:cs="Arial"/>
                <w:b/>
                <w:bCs/>
                <w:sz w:val="22"/>
                <w:szCs w:val="22"/>
                <w:highlight w:val="yellow"/>
              </w:rPr>
              <w:t xml:space="preserve"> access modality</w:t>
            </w:r>
          </w:p>
        </w:tc>
      </w:tr>
      <w:tr w:rsidR="00B4309F" w:rsidRPr="00B4309F" w14:paraId="2B0D014C" w14:textId="77777777" w:rsidTr="00B4309F">
        <w:tc>
          <w:tcPr>
            <w:tcW w:w="2001" w:type="dxa"/>
            <w:gridSpan w:val="2"/>
            <w:tcBorders>
              <w:top w:val="single" w:sz="4" w:space="0" w:color="auto"/>
              <w:left w:val="single" w:sz="4" w:space="0" w:color="auto"/>
              <w:bottom w:val="single" w:sz="4" w:space="0" w:color="auto"/>
              <w:right w:val="single" w:sz="4" w:space="0" w:color="auto"/>
            </w:tcBorders>
            <w:hideMark/>
          </w:tcPr>
          <w:p w14:paraId="50FA895C" w14:textId="77777777" w:rsidR="00B4309F" w:rsidRPr="00B4309F" w:rsidRDefault="00B4309F" w:rsidP="00FD0561">
            <w:pPr>
              <w:rPr>
                <w:rFonts w:ascii="Cambria" w:hAnsi="Cambria" w:cs="Arial"/>
                <w:b/>
                <w:bCs/>
                <w:sz w:val="22"/>
                <w:szCs w:val="22"/>
              </w:rPr>
            </w:pPr>
            <w:r w:rsidRPr="00B4309F">
              <w:rPr>
                <w:rFonts w:ascii="Cambria" w:hAnsi="Cambria" w:cs="Arial"/>
                <w:b/>
                <w:bCs/>
                <w:sz w:val="22"/>
                <w:szCs w:val="22"/>
              </w:rPr>
              <w:t>Source</w:t>
            </w:r>
          </w:p>
        </w:tc>
        <w:tc>
          <w:tcPr>
            <w:tcW w:w="7994" w:type="dxa"/>
            <w:gridSpan w:val="8"/>
            <w:tcBorders>
              <w:top w:val="single" w:sz="4" w:space="0" w:color="auto"/>
              <w:left w:val="single" w:sz="4" w:space="0" w:color="auto"/>
              <w:bottom w:val="single" w:sz="4" w:space="0" w:color="auto"/>
              <w:right w:val="single" w:sz="4" w:space="0" w:color="auto"/>
            </w:tcBorders>
            <w:hideMark/>
          </w:tcPr>
          <w:p w14:paraId="367469D6" w14:textId="77777777" w:rsidR="00B4309F" w:rsidRPr="00B4309F" w:rsidRDefault="00B4309F" w:rsidP="00FD0561">
            <w:pPr>
              <w:rPr>
                <w:rFonts w:ascii="Cambria" w:hAnsi="Cambria" w:cs="Arial"/>
                <w:b/>
                <w:bCs/>
                <w:sz w:val="22"/>
                <w:szCs w:val="22"/>
                <w:highlight w:val="yellow"/>
              </w:rPr>
            </w:pPr>
            <w:r w:rsidRPr="00B4309F">
              <w:rPr>
                <w:rFonts w:ascii="Cambria" w:hAnsi="Cambria" w:cs="Arial"/>
                <w:b/>
                <w:bCs/>
                <w:sz w:val="22"/>
                <w:szCs w:val="22"/>
                <w:highlight w:val="yellow"/>
              </w:rPr>
              <w:t>Remote (International Recruitment)</w:t>
            </w:r>
          </w:p>
        </w:tc>
      </w:tr>
      <w:tr w:rsidR="00B4309F" w:rsidRPr="006507F3" w14:paraId="383779DF" w14:textId="77777777" w:rsidTr="00B4309F">
        <w:tc>
          <w:tcPr>
            <w:tcW w:w="9995" w:type="dxa"/>
            <w:gridSpan w:val="10"/>
            <w:tcBorders>
              <w:top w:val="single" w:sz="4" w:space="0" w:color="auto"/>
              <w:left w:val="single" w:sz="4" w:space="0" w:color="auto"/>
              <w:bottom w:val="single" w:sz="4" w:space="0" w:color="auto"/>
              <w:right w:val="single" w:sz="4" w:space="0" w:color="auto"/>
            </w:tcBorders>
          </w:tcPr>
          <w:p w14:paraId="2CF7902F" w14:textId="77777777" w:rsidR="00B4309F" w:rsidRDefault="00B4309F" w:rsidP="00FD0561">
            <w:pPr>
              <w:jc w:val="both"/>
              <w:rPr>
                <w:rFonts w:ascii="Cambria" w:hAnsi="Cambria" w:cs="Arial"/>
                <w:color w:val="000000"/>
                <w:sz w:val="22"/>
                <w:szCs w:val="22"/>
              </w:rPr>
            </w:pPr>
          </w:p>
          <w:p w14:paraId="3063312B" w14:textId="77777777" w:rsidR="00B4309F" w:rsidRPr="007632A0" w:rsidRDefault="00B4309F" w:rsidP="00FD0561">
            <w:pPr>
              <w:jc w:val="both"/>
              <w:rPr>
                <w:rFonts w:ascii="Cambria" w:hAnsi="Cambria" w:cs="Arial"/>
                <w:b/>
                <w:bCs/>
                <w:color w:val="000000"/>
                <w:sz w:val="22"/>
                <w:szCs w:val="22"/>
                <w:lang w:bidi="en-US"/>
              </w:rPr>
            </w:pPr>
            <w:r w:rsidRPr="007632A0">
              <w:rPr>
                <w:rFonts w:ascii="Cambria" w:hAnsi="Cambria" w:cs="Arial"/>
                <w:b/>
                <w:bCs/>
                <w:color w:val="000000"/>
                <w:sz w:val="22"/>
                <w:szCs w:val="22"/>
                <w:lang w:bidi="en-US"/>
              </w:rPr>
              <w:t>Background:</w:t>
            </w:r>
          </w:p>
          <w:p w14:paraId="68620D25" w14:textId="77777777" w:rsidR="00B4309F" w:rsidRPr="00235B77" w:rsidRDefault="00B4309F" w:rsidP="00FD0561">
            <w:pPr>
              <w:jc w:val="both"/>
              <w:rPr>
                <w:rFonts w:ascii="Cambria" w:hAnsi="Cambria" w:cs="Arial"/>
                <w:color w:val="000000"/>
                <w:sz w:val="22"/>
                <w:szCs w:val="22"/>
                <w:lang w:bidi="en-US"/>
              </w:rPr>
            </w:pPr>
          </w:p>
          <w:p w14:paraId="149F2C12" w14:textId="77777777" w:rsidR="00B4309F" w:rsidRDefault="00B4309F" w:rsidP="00FD0561">
            <w:pPr>
              <w:jc w:val="both"/>
              <w:rPr>
                <w:rFonts w:ascii="Cambria" w:hAnsi="Cambria" w:cs="Arial"/>
                <w:color w:val="000000"/>
                <w:sz w:val="22"/>
                <w:szCs w:val="22"/>
                <w:lang w:bidi="en-US"/>
              </w:rPr>
            </w:pPr>
            <w:r>
              <w:rPr>
                <w:rFonts w:ascii="Cambria" w:hAnsi="Cambria" w:cs="Arial"/>
                <w:color w:val="000000"/>
                <w:sz w:val="22"/>
                <w:szCs w:val="22"/>
                <w:lang w:bidi="en-US"/>
              </w:rPr>
              <w:t xml:space="preserve">Currently, </w:t>
            </w:r>
            <w:r w:rsidRPr="00235B77">
              <w:rPr>
                <w:rFonts w:ascii="Cambria" w:hAnsi="Cambria" w:cs="Arial"/>
                <w:color w:val="000000"/>
                <w:sz w:val="22"/>
                <w:szCs w:val="22"/>
                <w:lang w:bidi="en-US"/>
              </w:rPr>
              <w:t>the GCF ha</w:t>
            </w:r>
            <w:r>
              <w:rPr>
                <w:rFonts w:ascii="Cambria" w:hAnsi="Cambria" w:cs="Arial"/>
                <w:color w:val="000000"/>
                <w:sz w:val="22"/>
                <w:szCs w:val="22"/>
                <w:lang w:bidi="en-US"/>
              </w:rPr>
              <w:t>s</w:t>
            </w:r>
            <w:r w:rsidRPr="00235B77">
              <w:rPr>
                <w:rFonts w:ascii="Cambria" w:hAnsi="Cambria" w:cs="Arial"/>
                <w:color w:val="000000"/>
                <w:sz w:val="22"/>
                <w:szCs w:val="22"/>
                <w:lang w:bidi="en-US"/>
              </w:rPr>
              <w:t xml:space="preserve"> approved 47 projects through the SAP modality, 23 projects prior to the update to the SAP policy at B.32 and 24 projects afterwards. Of the 47 SAP projects, 26 are with International Accredited Entities, 5 with Regional Direct Access Entities and 16 with National Direct Access Entities. To date, SAP projects mainly focus on three results areas: Livelihoods of People and Communities as well as Health Wellbeing Food and Water on the adaptation side</w:t>
            </w:r>
            <w:r>
              <w:rPr>
                <w:rFonts w:ascii="Cambria" w:hAnsi="Cambria" w:cs="Arial"/>
                <w:color w:val="000000"/>
                <w:sz w:val="22"/>
                <w:szCs w:val="22"/>
                <w:lang w:bidi="en-US"/>
              </w:rPr>
              <w:t>; E</w:t>
            </w:r>
            <w:r w:rsidRPr="00235B77">
              <w:rPr>
                <w:rFonts w:ascii="Cambria" w:hAnsi="Cambria" w:cs="Arial"/>
                <w:color w:val="000000"/>
                <w:sz w:val="22"/>
                <w:szCs w:val="22"/>
                <w:lang w:bidi="en-US"/>
              </w:rPr>
              <w:t>cosystems and Ecosystem Services on the mitigation side.</w:t>
            </w:r>
          </w:p>
          <w:p w14:paraId="396A6A08" w14:textId="77777777" w:rsidR="00B4309F" w:rsidRDefault="00B4309F" w:rsidP="00FD0561">
            <w:pPr>
              <w:jc w:val="both"/>
              <w:rPr>
                <w:rFonts w:ascii="Cambria" w:hAnsi="Cambria" w:cs="Arial"/>
                <w:color w:val="000000"/>
                <w:sz w:val="22"/>
                <w:szCs w:val="22"/>
                <w:lang w:bidi="en-US"/>
              </w:rPr>
            </w:pPr>
          </w:p>
          <w:p w14:paraId="4272974A" w14:textId="77777777"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GCF introduced the Simplified Approval Process (SAP) in decision B.18/06 with the intention of speeding up the preparation, review, approval and disbursement procedures for proposals under USD10 million with limited social and environmental risks.   </w:t>
            </w:r>
          </w:p>
          <w:p w14:paraId="4122B851" w14:textId="77777777" w:rsidR="00B4309F" w:rsidRPr="00235B77" w:rsidRDefault="00B4309F" w:rsidP="00FD0561">
            <w:pPr>
              <w:jc w:val="both"/>
              <w:rPr>
                <w:rFonts w:ascii="Cambria" w:hAnsi="Cambria" w:cs="Arial"/>
                <w:color w:val="000000"/>
                <w:sz w:val="22"/>
                <w:szCs w:val="22"/>
                <w:lang w:bidi="en-US"/>
              </w:rPr>
            </w:pPr>
          </w:p>
          <w:p w14:paraId="6C05CB5F" w14:textId="377A786F"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At B. 24 the Board approved the IEU’s workplan for 2020 including an independent assessment of the GCF’s Simplified Approval Process and took note of the completed independent assessment in decision B.30/02. The GCF-IEU submitted a management action report </w:t>
            </w:r>
            <w:r w:rsidR="00191B6E">
              <w:rPr>
                <w:rFonts w:ascii="Cambria" w:hAnsi="Cambria" w:cs="Arial"/>
                <w:color w:val="000000"/>
                <w:sz w:val="22"/>
                <w:szCs w:val="22"/>
                <w:lang w:bidi="en-US"/>
              </w:rPr>
              <w:t xml:space="preserve">(MAR) </w:t>
            </w:r>
            <w:r w:rsidRPr="00235B77">
              <w:rPr>
                <w:rFonts w:ascii="Cambria" w:hAnsi="Cambria" w:cs="Arial"/>
                <w:color w:val="000000"/>
                <w:sz w:val="22"/>
                <w:szCs w:val="22"/>
                <w:lang w:bidi="en-US"/>
              </w:rPr>
              <w:t xml:space="preserve">to the Board one year following the adoption of the decision (see document B.34/Inf. 10/Annex VIII). The MAR </w:t>
            </w:r>
            <w:r w:rsidR="005F6C78">
              <w:rPr>
                <w:rFonts w:ascii="Cambria" w:hAnsi="Cambria" w:cs="Arial"/>
                <w:color w:val="000000"/>
                <w:sz w:val="22"/>
                <w:szCs w:val="22"/>
                <w:lang w:bidi="en-US"/>
              </w:rPr>
              <w:t xml:space="preserve">reviewed </w:t>
            </w:r>
            <w:r w:rsidRPr="00235B77">
              <w:rPr>
                <w:rFonts w:ascii="Cambria" w:hAnsi="Cambria" w:cs="Arial"/>
                <w:color w:val="000000"/>
                <w:sz w:val="22"/>
                <w:szCs w:val="22"/>
                <w:lang w:bidi="en-US"/>
              </w:rPr>
              <w:t xml:space="preserve">Secretariat progress made with the adoption of the 9 recommendations set out in the evaluation.  </w:t>
            </w:r>
          </w:p>
          <w:p w14:paraId="3557F472" w14:textId="77777777" w:rsidR="00B4309F" w:rsidRPr="00235B77" w:rsidRDefault="00B4309F" w:rsidP="00FD0561">
            <w:pPr>
              <w:jc w:val="both"/>
              <w:rPr>
                <w:rFonts w:ascii="Cambria" w:hAnsi="Cambria" w:cs="Arial"/>
                <w:color w:val="000000"/>
                <w:sz w:val="22"/>
                <w:szCs w:val="22"/>
                <w:lang w:bidi="en-US"/>
              </w:rPr>
            </w:pPr>
          </w:p>
          <w:p w14:paraId="0A4999DA" w14:textId="5FE60A38" w:rsidR="00B4309F" w:rsidRPr="00235B77" w:rsidRDefault="00191B6E" w:rsidP="00FD0561">
            <w:pPr>
              <w:jc w:val="both"/>
              <w:rPr>
                <w:rFonts w:ascii="Cambria" w:hAnsi="Cambria" w:cs="Arial"/>
                <w:color w:val="000000"/>
                <w:sz w:val="22"/>
                <w:szCs w:val="22"/>
                <w:lang w:bidi="en-US"/>
              </w:rPr>
            </w:pPr>
            <w:r>
              <w:rPr>
                <w:rFonts w:ascii="Cambria" w:hAnsi="Cambria" w:cs="Arial"/>
                <w:color w:val="000000"/>
                <w:sz w:val="22"/>
                <w:szCs w:val="22"/>
                <w:lang w:bidi="en-US"/>
              </w:rPr>
              <w:t xml:space="preserve">Following the </w:t>
            </w:r>
            <w:r w:rsidR="00B4309F" w:rsidRPr="00235B77">
              <w:rPr>
                <w:rFonts w:ascii="Cambria" w:hAnsi="Cambria" w:cs="Arial"/>
                <w:color w:val="000000"/>
                <w:sz w:val="22"/>
                <w:szCs w:val="22"/>
                <w:lang w:bidi="en-US"/>
              </w:rPr>
              <w:t>completed independent assessment</w:t>
            </w:r>
            <w:r>
              <w:rPr>
                <w:rFonts w:ascii="Cambria" w:hAnsi="Cambria" w:cs="Arial"/>
                <w:color w:val="000000"/>
                <w:sz w:val="22"/>
                <w:szCs w:val="22"/>
                <w:lang w:bidi="en-US"/>
              </w:rPr>
              <w:t xml:space="preserve"> (</w:t>
            </w:r>
            <w:r w:rsidR="00B4309F" w:rsidRPr="00235B77">
              <w:rPr>
                <w:rFonts w:ascii="Cambria" w:hAnsi="Cambria" w:cs="Arial"/>
                <w:color w:val="000000"/>
                <w:sz w:val="22"/>
                <w:szCs w:val="22"/>
                <w:lang w:bidi="en-US"/>
              </w:rPr>
              <w:t>decision B.30/02</w:t>
            </w:r>
            <w:r>
              <w:rPr>
                <w:rFonts w:ascii="Cambria" w:hAnsi="Cambria" w:cs="Arial"/>
                <w:color w:val="000000"/>
                <w:sz w:val="22"/>
                <w:szCs w:val="22"/>
                <w:lang w:bidi="en-US"/>
              </w:rPr>
              <w:t>)</w:t>
            </w:r>
            <w:r w:rsidR="00B4309F" w:rsidRPr="00235B77">
              <w:rPr>
                <w:rFonts w:ascii="Cambria" w:hAnsi="Cambria" w:cs="Arial"/>
                <w:color w:val="000000"/>
                <w:sz w:val="22"/>
                <w:szCs w:val="22"/>
                <w:lang w:bidi="en-US"/>
              </w:rPr>
              <w:t>, the GCF Secretariat made a number of alterations to the SAP modality</w:t>
            </w:r>
            <w:r w:rsidR="005F6C78">
              <w:rPr>
                <w:rFonts w:ascii="Cambria" w:hAnsi="Cambria" w:cs="Arial"/>
                <w:color w:val="000000"/>
                <w:sz w:val="22"/>
                <w:szCs w:val="22"/>
                <w:lang w:bidi="en-US"/>
              </w:rPr>
              <w:t>, most importantly through decision B.32/05</w:t>
            </w:r>
            <w:r w:rsidR="00B4309F" w:rsidRPr="00235B77">
              <w:rPr>
                <w:rFonts w:ascii="Cambria" w:hAnsi="Cambria" w:cs="Arial"/>
                <w:color w:val="000000"/>
                <w:sz w:val="22"/>
                <w:szCs w:val="22"/>
                <w:lang w:bidi="en-US"/>
              </w:rPr>
              <w:t xml:space="preserve">. </w:t>
            </w:r>
          </w:p>
          <w:p w14:paraId="449FEAE8" w14:textId="77777777" w:rsidR="00B4309F" w:rsidRPr="00235B77" w:rsidRDefault="00B4309F" w:rsidP="00FD0561">
            <w:pPr>
              <w:jc w:val="both"/>
              <w:rPr>
                <w:rFonts w:ascii="Cambria" w:hAnsi="Cambria" w:cs="Arial"/>
                <w:color w:val="000000"/>
                <w:sz w:val="22"/>
                <w:szCs w:val="22"/>
                <w:lang w:bidi="en-US"/>
              </w:rPr>
            </w:pPr>
          </w:p>
          <w:p w14:paraId="46038E4A" w14:textId="77777777"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In decision B.32/05 the Board approved the Update of the simplified approval process to improve the process and reduce the information required for the review of SAP proposals accounting for their smaller size and minimal or no adverse environmental/social risks and/or impacts, as described in the GCF Revised Environmental and Social Policy.  </w:t>
            </w:r>
          </w:p>
          <w:p w14:paraId="117675B7" w14:textId="77777777" w:rsidR="00B4309F" w:rsidRPr="00235B77" w:rsidRDefault="00B4309F" w:rsidP="00FD0561">
            <w:pPr>
              <w:jc w:val="both"/>
              <w:rPr>
                <w:rFonts w:ascii="Cambria" w:hAnsi="Cambria" w:cs="Arial"/>
                <w:color w:val="000000"/>
                <w:sz w:val="22"/>
                <w:szCs w:val="22"/>
                <w:lang w:bidi="en-US"/>
              </w:rPr>
            </w:pPr>
          </w:p>
          <w:p w14:paraId="088EB63D" w14:textId="77777777"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Importantly, decision B.32/05 confirmed total GCF contributions to SAP projects will be increased to USD 25 million per funding proposal maintaining the requirement for projects with no to minimal adverse environmental/social risks and/or impacts. Further, the Board requested the Secretariat to continue to identify areas for further simplifications within GCF processes, to inform the review of the simplified approval process and its implementation of strategic programming activities and the overall policy cycle for the next programming period. </w:t>
            </w:r>
          </w:p>
          <w:p w14:paraId="65F203F2" w14:textId="77777777" w:rsidR="00B4309F" w:rsidRPr="00235B77" w:rsidRDefault="00B4309F" w:rsidP="00FD0561">
            <w:pPr>
              <w:jc w:val="both"/>
              <w:rPr>
                <w:rFonts w:ascii="Cambria" w:hAnsi="Cambria" w:cs="Arial"/>
                <w:color w:val="000000"/>
                <w:sz w:val="22"/>
                <w:szCs w:val="22"/>
                <w:lang w:bidi="en-US"/>
              </w:rPr>
            </w:pPr>
          </w:p>
          <w:p w14:paraId="108E4730" w14:textId="77777777" w:rsidR="00B4309F"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Decision B.32/05 made a number of important changes to the SAP programme, many of which reflected IEU’s recommendations and the IEU’s management action report (see document B.34/Inf. 10/Annex VIII). These include embedding increasingly ambitious key performance indicators for the simplified approval process (including for the post-approval stage), the continued and enhanced provision of readiness support for simplified approval process funding proposal preparation and access as part of the RPSP. </w:t>
            </w:r>
          </w:p>
          <w:p w14:paraId="108D4240" w14:textId="77777777" w:rsidR="00191B6E" w:rsidRDefault="00191B6E" w:rsidP="00FD0561">
            <w:pPr>
              <w:jc w:val="both"/>
              <w:rPr>
                <w:rFonts w:ascii="Cambria" w:hAnsi="Cambria" w:cs="Arial"/>
                <w:color w:val="000000"/>
                <w:sz w:val="22"/>
                <w:szCs w:val="22"/>
                <w:lang w:bidi="en-US"/>
              </w:rPr>
            </w:pPr>
          </w:p>
          <w:p w14:paraId="4639D841" w14:textId="77777777" w:rsidR="00191B6E" w:rsidRPr="00235B77" w:rsidRDefault="00191B6E" w:rsidP="00FD0561">
            <w:pPr>
              <w:jc w:val="both"/>
              <w:rPr>
                <w:rFonts w:ascii="Cambria" w:hAnsi="Cambria" w:cs="Arial"/>
                <w:color w:val="000000"/>
                <w:sz w:val="22"/>
                <w:szCs w:val="22"/>
                <w:lang w:bidi="en-US"/>
              </w:rPr>
            </w:pPr>
          </w:p>
          <w:p w14:paraId="3D4DC1F9" w14:textId="77777777" w:rsidR="00B4309F" w:rsidRPr="00235B77" w:rsidRDefault="00B4309F" w:rsidP="00FD0561">
            <w:pPr>
              <w:jc w:val="both"/>
              <w:rPr>
                <w:rFonts w:ascii="Cambria" w:hAnsi="Cambria" w:cs="Arial"/>
                <w:color w:val="000000"/>
                <w:sz w:val="22"/>
                <w:szCs w:val="22"/>
                <w:lang w:bidi="en-US"/>
              </w:rPr>
            </w:pPr>
          </w:p>
          <w:p w14:paraId="6B173683" w14:textId="77777777"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Overall, decision 32/05 reaffirmed the Secretariat’s commitment to simplify the documentation required for presenting SAP proposals, ensuring that SAP projects or programmes are expected to possess significant climate impact potential and are expected to be ready for scaling up with potential for transformation and promoting a paradigm shift to low-emission and climate-resilient development. </w:t>
            </w:r>
          </w:p>
          <w:p w14:paraId="74931D3F" w14:textId="77777777" w:rsidR="00B4309F" w:rsidRPr="00235B77" w:rsidRDefault="00B4309F" w:rsidP="00FD0561">
            <w:pPr>
              <w:jc w:val="both"/>
              <w:rPr>
                <w:rFonts w:ascii="Cambria" w:hAnsi="Cambria" w:cs="Arial"/>
                <w:color w:val="000000"/>
                <w:sz w:val="22"/>
                <w:szCs w:val="22"/>
                <w:lang w:bidi="en-US"/>
              </w:rPr>
            </w:pPr>
          </w:p>
          <w:p w14:paraId="4AD5FC30" w14:textId="77777777"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Decision 32/05 confirmed the development of a simplified review process, the development of SAP programming guidance, as well as guided templates to fast-track preparation and review of SAP proposals.  Specific examples include the creation of SAP funding proposal guided templates in key GCF impact areas, such as templates on early warning systems and energy efficiency. Through the SAP </w:t>
            </w:r>
            <w:r>
              <w:rPr>
                <w:rFonts w:ascii="Cambria" w:hAnsi="Cambria" w:cs="Arial"/>
                <w:color w:val="000000"/>
                <w:sz w:val="22"/>
                <w:szCs w:val="22"/>
                <w:lang w:bidi="en-US"/>
              </w:rPr>
              <w:t>P</w:t>
            </w:r>
            <w:r w:rsidRPr="00235B77">
              <w:rPr>
                <w:rFonts w:ascii="Cambria" w:hAnsi="Cambria" w:cs="Arial"/>
                <w:color w:val="000000"/>
                <w:sz w:val="22"/>
                <w:szCs w:val="22"/>
                <w:lang w:bidi="en-US"/>
              </w:rPr>
              <w:t xml:space="preserve">olicy and Update, SAP intends to target DAEs and aims to reach, overtime, a portfolio where 50 per cent of the approved SAP proposals are from DAEs. </w:t>
            </w:r>
          </w:p>
          <w:p w14:paraId="0E38927C" w14:textId="77777777" w:rsidR="00B4309F" w:rsidRPr="00235B77" w:rsidRDefault="00B4309F" w:rsidP="00FD0561">
            <w:pPr>
              <w:jc w:val="both"/>
              <w:rPr>
                <w:rFonts w:ascii="Cambria" w:hAnsi="Cambria" w:cs="Arial"/>
                <w:color w:val="000000"/>
                <w:sz w:val="22"/>
                <w:szCs w:val="22"/>
                <w:lang w:bidi="en-US"/>
              </w:rPr>
            </w:pPr>
          </w:p>
          <w:p w14:paraId="2B5858BE" w14:textId="7D10DC3F"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Subsequent to decision B.32/05, the policy and procedural landscape of GCF has evolved further, with implications for the continued importance and relevance of the SAP modality. Examples include how the RPSP work </w:t>
            </w:r>
            <w:proofErr w:type="spellStart"/>
            <w:r w:rsidRPr="00235B77">
              <w:rPr>
                <w:rFonts w:ascii="Cambria" w:hAnsi="Cambria" w:cs="Arial"/>
                <w:color w:val="000000"/>
                <w:sz w:val="22"/>
                <w:szCs w:val="22"/>
                <w:lang w:bidi="en-US"/>
              </w:rPr>
              <w:t>programme</w:t>
            </w:r>
            <w:proofErr w:type="spellEnd"/>
            <w:r w:rsidRPr="00235B77">
              <w:rPr>
                <w:rFonts w:ascii="Cambria" w:hAnsi="Cambria" w:cs="Arial"/>
                <w:color w:val="000000"/>
                <w:sz w:val="22"/>
                <w:szCs w:val="22"/>
                <w:lang w:bidi="en-US"/>
              </w:rPr>
              <w:t xml:space="preserve"> and budget for 2022/23 continued to support the development of concept notes for priority areas including SAP and </w:t>
            </w:r>
            <w:r w:rsidR="00191B6E">
              <w:rPr>
                <w:rFonts w:ascii="Cambria" w:hAnsi="Cambria" w:cs="Arial"/>
                <w:color w:val="000000"/>
                <w:sz w:val="22"/>
                <w:szCs w:val="22"/>
                <w:lang w:bidi="en-US"/>
              </w:rPr>
              <w:t xml:space="preserve">the </w:t>
            </w:r>
            <w:r w:rsidRPr="00235B77">
              <w:rPr>
                <w:rFonts w:ascii="Cambria" w:hAnsi="Cambria" w:cs="Arial"/>
                <w:color w:val="000000"/>
                <w:sz w:val="22"/>
                <w:szCs w:val="22"/>
                <w:lang w:bidi="en-US"/>
              </w:rPr>
              <w:t>P</w:t>
            </w:r>
            <w:r w:rsidR="00191B6E">
              <w:rPr>
                <w:rFonts w:ascii="Cambria" w:hAnsi="Cambria" w:cs="Arial"/>
                <w:color w:val="000000"/>
                <w:sz w:val="22"/>
                <w:szCs w:val="22"/>
                <w:lang w:bidi="en-US"/>
              </w:rPr>
              <w:t xml:space="preserve">roject </w:t>
            </w:r>
            <w:r w:rsidRPr="00235B77">
              <w:rPr>
                <w:rFonts w:ascii="Cambria" w:hAnsi="Cambria" w:cs="Arial"/>
                <w:color w:val="000000"/>
                <w:sz w:val="22"/>
                <w:szCs w:val="22"/>
                <w:lang w:bidi="en-US"/>
              </w:rPr>
              <w:t>S</w:t>
            </w:r>
            <w:r w:rsidR="00191B6E">
              <w:rPr>
                <w:rFonts w:ascii="Cambria" w:hAnsi="Cambria" w:cs="Arial"/>
                <w:color w:val="000000"/>
                <w:sz w:val="22"/>
                <w:szCs w:val="22"/>
                <w:lang w:bidi="en-US"/>
              </w:rPr>
              <w:t xml:space="preserve">pecific </w:t>
            </w:r>
            <w:r w:rsidRPr="00235B77">
              <w:rPr>
                <w:rFonts w:ascii="Cambria" w:hAnsi="Cambria" w:cs="Arial"/>
                <w:color w:val="000000"/>
                <w:sz w:val="22"/>
                <w:szCs w:val="22"/>
                <w:lang w:bidi="en-US"/>
              </w:rPr>
              <w:t>A</w:t>
            </w:r>
            <w:r w:rsidR="00191B6E">
              <w:rPr>
                <w:rFonts w:ascii="Cambria" w:hAnsi="Cambria" w:cs="Arial"/>
                <w:color w:val="000000"/>
                <w:sz w:val="22"/>
                <w:szCs w:val="22"/>
                <w:lang w:bidi="en-US"/>
              </w:rPr>
              <w:t xml:space="preserve">ssessment </w:t>
            </w:r>
            <w:r w:rsidRPr="00235B77">
              <w:rPr>
                <w:rFonts w:ascii="Cambria" w:hAnsi="Cambria" w:cs="Arial"/>
                <w:color w:val="000000"/>
                <w:sz w:val="22"/>
                <w:szCs w:val="22"/>
                <w:lang w:bidi="en-US"/>
              </w:rPr>
              <w:t>A</w:t>
            </w:r>
            <w:r w:rsidR="00191B6E">
              <w:rPr>
                <w:rFonts w:ascii="Cambria" w:hAnsi="Cambria" w:cs="Arial"/>
                <w:color w:val="000000"/>
                <w:sz w:val="22"/>
                <w:szCs w:val="22"/>
                <w:lang w:bidi="en-US"/>
              </w:rPr>
              <w:t>pproach (PSAA)</w:t>
            </w:r>
            <w:r w:rsidRPr="00235B77">
              <w:rPr>
                <w:rFonts w:ascii="Cambria" w:hAnsi="Cambria" w:cs="Arial"/>
                <w:color w:val="000000"/>
                <w:sz w:val="22"/>
                <w:szCs w:val="22"/>
                <w:lang w:bidi="en-US"/>
              </w:rPr>
              <w:t xml:space="preserve">. In addition, and in line with the Update, the Secretariat has started using capacity-building initiatives that particularly target DAEs, national designated authorities (NDAs) and private sector accredited entities (AEs) to facilitate their access to SAP. </w:t>
            </w:r>
          </w:p>
          <w:p w14:paraId="7751459D" w14:textId="77777777" w:rsidR="00B4309F" w:rsidRPr="00235B77" w:rsidRDefault="00B4309F" w:rsidP="00FD0561">
            <w:pPr>
              <w:jc w:val="both"/>
              <w:rPr>
                <w:rFonts w:ascii="Cambria" w:hAnsi="Cambria" w:cs="Arial"/>
                <w:color w:val="000000"/>
                <w:sz w:val="22"/>
                <w:szCs w:val="22"/>
                <w:lang w:bidi="en-US"/>
              </w:rPr>
            </w:pPr>
          </w:p>
          <w:p w14:paraId="03E89B04" w14:textId="20BC661C" w:rsidR="00B4309F" w:rsidRPr="00235B77"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More broadly, the GCF has recently </w:t>
            </w:r>
            <w:r w:rsidR="00004005">
              <w:rPr>
                <w:rFonts w:ascii="Cambria" w:hAnsi="Cambria" w:cs="Arial"/>
                <w:color w:val="000000"/>
                <w:sz w:val="22"/>
                <w:szCs w:val="22"/>
                <w:lang w:bidi="en-US"/>
              </w:rPr>
              <w:t xml:space="preserve">proposed </w:t>
            </w:r>
            <w:r w:rsidRPr="00235B77">
              <w:rPr>
                <w:rFonts w:ascii="Cambria" w:hAnsi="Cambria" w:cs="Arial"/>
                <w:color w:val="000000"/>
                <w:sz w:val="22"/>
                <w:szCs w:val="22"/>
                <w:lang w:bidi="en-US"/>
              </w:rPr>
              <w:t xml:space="preserve">key </w:t>
            </w:r>
            <w:r w:rsidR="00004005">
              <w:rPr>
                <w:rFonts w:ascii="Cambria" w:hAnsi="Cambria" w:cs="Arial"/>
                <w:color w:val="000000"/>
                <w:sz w:val="22"/>
                <w:szCs w:val="22"/>
                <w:lang w:bidi="en-US"/>
              </w:rPr>
              <w:t>changes</w:t>
            </w:r>
            <w:r w:rsidR="00004005" w:rsidRPr="00235B77">
              <w:rPr>
                <w:rFonts w:ascii="Cambria" w:hAnsi="Cambria" w:cs="Arial"/>
                <w:color w:val="000000"/>
                <w:sz w:val="22"/>
                <w:szCs w:val="22"/>
                <w:lang w:bidi="en-US"/>
              </w:rPr>
              <w:t xml:space="preserve"> </w:t>
            </w:r>
            <w:r w:rsidRPr="00235B77">
              <w:rPr>
                <w:rFonts w:ascii="Cambria" w:hAnsi="Cambria" w:cs="Arial"/>
                <w:color w:val="000000"/>
                <w:sz w:val="22"/>
                <w:szCs w:val="22"/>
                <w:lang w:bidi="en-US"/>
              </w:rPr>
              <w:t>to its operati</w:t>
            </w:r>
            <w:r w:rsidR="00004005">
              <w:rPr>
                <w:rFonts w:ascii="Cambria" w:hAnsi="Cambria" w:cs="Arial"/>
                <w:color w:val="000000"/>
                <w:sz w:val="22"/>
                <w:szCs w:val="22"/>
                <w:lang w:bidi="en-US"/>
              </w:rPr>
              <w:t xml:space="preserve">ons </w:t>
            </w:r>
            <w:proofErr w:type="gramStart"/>
            <w:r w:rsidR="00004005">
              <w:rPr>
                <w:rFonts w:ascii="Cambria" w:hAnsi="Cambria" w:cs="Arial"/>
                <w:color w:val="000000"/>
                <w:sz w:val="22"/>
                <w:szCs w:val="22"/>
                <w:lang w:bidi="en-US"/>
              </w:rPr>
              <w:t xml:space="preserve">and </w:t>
            </w:r>
            <w:r w:rsidRPr="00235B77">
              <w:rPr>
                <w:rFonts w:ascii="Cambria" w:hAnsi="Cambria" w:cs="Arial"/>
                <w:color w:val="000000"/>
                <w:sz w:val="22"/>
                <w:szCs w:val="22"/>
                <w:lang w:bidi="en-US"/>
              </w:rPr>
              <w:t xml:space="preserve"> business</w:t>
            </w:r>
            <w:proofErr w:type="gramEnd"/>
            <w:r w:rsidRPr="00235B77">
              <w:rPr>
                <w:rFonts w:ascii="Cambria" w:hAnsi="Cambria" w:cs="Arial"/>
                <w:color w:val="000000"/>
                <w:sz w:val="22"/>
                <w:szCs w:val="22"/>
                <w:lang w:bidi="en-US"/>
              </w:rPr>
              <w:t xml:space="preserve"> model. These include the revised RPSP strategy 2024-2027, revised Accreditation Strategy (decision B.34/19), and revised Accreditation framework with implications for the SAP modality (at B.40). The revised RPSP strategy 2024-</w:t>
            </w:r>
            <w:proofErr w:type="gramStart"/>
            <w:r w:rsidRPr="00235B77">
              <w:rPr>
                <w:rFonts w:ascii="Cambria" w:hAnsi="Cambria" w:cs="Arial"/>
                <w:color w:val="000000"/>
                <w:sz w:val="22"/>
                <w:szCs w:val="22"/>
                <w:lang w:bidi="en-US"/>
              </w:rPr>
              <w:t>2027  provides</w:t>
            </w:r>
            <w:proofErr w:type="gramEnd"/>
            <w:r w:rsidRPr="00235B77">
              <w:rPr>
                <w:rFonts w:ascii="Cambria" w:hAnsi="Cambria" w:cs="Arial"/>
                <w:color w:val="000000"/>
                <w:sz w:val="22"/>
                <w:szCs w:val="22"/>
                <w:lang w:bidi="en-US"/>
              </w:rPr>
              <w:t xml:space="preserve"> up to USD 7 million per country to NDAs or focal points to support pipeline development, capacity building, policy development and strategic frameworks.  Moreover, the RPSP strategy extends further support to DAEs</w:t>
            </w:r>
            <w:r>
              <w:rPr>
                <w:rFonts w:ascii="Cambria" w:hAnsi="Cambria" w:cs="Arial"/>
                <w:color w:val="000000"/>
                <w:sz w:val="22"/>
                <w:szCs w:val="22"/>
                <w:lang w:bidi="en-US"/>
              </w:rPr>
              <w:t xml:space="preserve">, as well as </w:t>
            </w:r>
            <w:r w:rsidRPr="00235B77">
              <w:rPr>
                <w:rFonts w:ascii="Cambria" w:hAnsi="Cambria" w:cs="Arial"/>
                <w:color w:val="000000"/>
                <w:sz w:val="22"/>
                <w:szCs w:val="22"/>
                <w:lang w:bidi="en-US"/>
              </w:rPr>
              <w:t>LDCs and SIDS</w:t>
            </w:r>
            <w:r>
              <w:rPr>
                <w:rFonts w:ascii="Cambria" w:hAnsi="Cambria" w:cs="Arial"/>
                <w:color w:val="000000"/>
                <w:sz w:val="22"/>
                <w:szCs w:val="22"/>
                <w:lang w:bidi="en-US"/>
              </w:rPr>
              <w:t xml:space="preserve">. </w:t>
            </w:r>
            <w:r w:rsidRPr="00235B77">
              <w:rPr>
                <w:rFonts w:ascii="Cambria" w:hAnsi="Cambria" w:cs="Arial"/>
                <w:color w:val="000000"/>
                <w:sz w:val="22"/>
                <w:szCs w:val="22"/>
                <w:lang w:bidi="en-US"/>
              </w:rPr>
              <w:t xml:space="preserve">The Secretariat aims for RPSP to complement PPF support. Decision B.37/22 Board endorsed the revised operating modalities for PPF, including an allocation of USD 90.3 million for the PPF with up to 2.5 per cent of the PPF resource allocation can be employed for partnership-building and knowledge-sharing activities for project preparation. </w:t>
            </w:r>
          </w:p>
          <w:p w14:paraId="0D8F890D" w14:textId="77777777" w:rsidR="00B4309F" w:rsidRPr="00235B77" w:rsidRDefault="00B4309F" w:rsidP="00FD0561">
            <w:pPr>
              <w:jc w:val="both"/>
              <w:rPr>
                <w:rFonts w:ascii="Cambria" w:hAnsi="Cambria" w:cs="Arial"/>
                <w:color w:val="000000"/>
                <w:sz w:val="22"/>
                <w:szCs w:val="22"/>
                <w:lang w:bidi="en-US"/>
              </w:rPr>
            </w:pPr>
          </w:p>
          <w:p w14:paraId="56896BB9" w14:textId="03F57D90" w:rsidR="00B4309F"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 xml:space="preserve">The Board, in decision B.34/19, adopted the Accreditation Strategy which aims to enhance the efficiency, effectiveness and inclusiveness of the GCF. The Accreditation Strategy proposes the PSAA as a tool to strategically identify new partners, countries, and technologies that have been underserved by the GCF to date and contribute to the GCF programming goals. The PSAA pilot offers an alternative approach to access GCF resources and an alternative channel to institutional accreditation (see decision GCF/B.29/0.6 and decision B.31/06, paragraph h). This alternative approach could be seen to have some overlaps with the SAP modality. </w:t>
            </w:r>
          </w:p>
          <w:p w14:paraId="70F6744B" w14:textId="77777777" w:rsidR="00B4309F" w:rsidRDefault="00B4309F" w:rsidP="00FD0561">
            <w:pPr>
              <w:jc w:val="both"/>
              <w:rPr>
                <w:rFonts w:ascii="Cambria" w:hAnsi="Cambria" w:cs="Arial"/>
                <w:color w:val="000000"/>
                <w:sz w:val="22"/>
                <w:szCs w:val="22"/>
                <w:lang w:bidi="en-US"/>
              </w:rPr>
            </w:pPr>
          </w:p>
          <w:p w14:paraId="39D84427" w14:textId="5380CAEF" w:rsidR="00B4309F" w:rsidRDefault="00B4309F" w:rsidP="00FD0561">
            <w:pPr>
              <w:jc w:val="both"/>
              <w:rPr>
                <w:rFonts w:ascii="Cambria" w:hAnsi="Cambria" w:cs="Arial"/>
                <w:color w:val="000000"/>
                <w:sz w:val="22"/>
                <w:szCs w:val="22"/>
                <w:lang w:bidi="en-US"/>
              </w:rPr>
            </w:pPr>
            <w:r w:rsidRPr="00235B77">
              <w:rPr>
                <w:rFonts w:ascii="Cambria" w:hAnsi="Cambria" w:cs="Arial"/>
                <w:color w:val="000000"/>
                <w:sz w:val="22"/>
                <w:szCs w:val="22"/>
                <w:lang w:bidi="en-US"/>
              </w:rPr>
              <w:t>Further, the accreditation framework was approved by the Board at B.40. The Secretariat is now mandated to undertake a review of related GCF policies, including the Updated simplified approval process (decision B.32/05) to ensure coherence with the new accreditation landscape. More widely, through 2024 the GCF Secretariat has embarked on a reform and efficiency process, including but not limited to re-examining internal project review and approval processes, streamlining internal processes and documentation through using revised, simpler, shorter templates, as well as reviewing the one-year pipeline priority list with a focus on country ownership and alignment.</w:t>
            </w:r>
          </w:p>
          <w:p w14:paraId="3CFF48A1" w14:textId="77777777" w:rsidR="005643DB" w:rsidRDefault="005643DB" w:rsidP="00FD0561">
            <w:pPr>
              <w:jc w:val="both"/>
              <w:rPr>
                <w:rFonts w:ascii="Cambria" w:hAnsi="Cambria" w:cs="Arial"/>
                <w:color w:val="000000"/>
                <w:sz w:val="22"/>
                <w:szCs w:val="22"/>
                <w:lang w:bidi="en-US"/>
              </w:rPr>
            </w:pPr>
          </w:p>
          <w:p w14:paraId="09080485" w14:textId="77777777" w:rsidR="005643DB" w:rsidRDefault="005643DB" w:rsidP="00FD0561">
            <w:pPr>
              <w:jc w:val="both"/>
              <w:rPr>
                <w:rFonts w:ascii="Cambria" w:hAnsi="Cambria" w:cs="Arial"/>
                <w:color w:val="000000"/>
                <w:sz w:val="22"/>
                <w:szCs w:val="22"/>
                <w:lang w:bidi="en-US"/>
              </w:rPr>
            </w:pPr>
          </w:p>
          <w:p w14:paraId="4BB7E397" w14:textId="77777777" w:rsidR="005643DB" w:rsidRDefault="005643DB" w:rsidP="00FD0561">
            <w:pPr>
              <w:jc w:val="both"/>
              <w:rPr>
                <w:rFonts w:ascii="Cambria" w:hAnsi="Cambria" w:cs="Arial"/>
                <w:color w:val="000000"/>
                <w:sz w:val="22"/>
                <w:szCs w:val="22"/>
                <w:lang w:bidi="en-US"/>
              </w:rPr>
            </w:pPr>
          </w:p>
          <w:p w14:paraId="4FC2B874" w14:textId="77777777" w:rsidR="005643DB" w:rsidRDefault="005643DB" w:rsidP="00FD0561">
            <w:pPr>
              <w:jc w:val="both"/>
              <w:rPr>
                <w:rFonts w:ascii="Cambria" w:hAnsi="Cambria" w:cs="Arial"/>
                <w:color w:val="000000"/>
                <w:sz w:val="22"/>
                <w:szCs w:val="22"/>
                <w:lang w:bidi="en-US"/>
              </w:rPr>
            </w:pPr>
          </w:p>
          <w:p w14:paraId="06EC3BEC" w14:textId="77777777" w:rsidR="00B4309F" w:rsidRPr="00DF7125" w:rsidRDefault="00B4309F" w:rsidP="00FD0561">
            <w:pPr>
              <w:jc w:val="both"/>
              <w:rPr>
                <w:rFonts w:ascii="Cambria" w:hAnsi="Cambria" w:cs="Arial"/>
                <w:b/>
                <w:bCs/>
                <w:color w:val="000000"/>
                <w:sz w:val="22"/>
                <w:szCs w:val="22"/>
              </w:rPr>
            </w:pPr>
            <w:r>
              <w:rPr>
                <w:rFonts w:ascii="Cambria" w:hAnsi="Cambria" w:cs="Arial"/>
                <w:b/>
                <w:bCs/>
                <w:color w:val="000000"/>
                <w:sz w:val="22"/>
                <w:szCs w:val="22"/>
              </w:rPr>
              <w:t>Scope of Work:</w:t>
            </w:r>
          </w:p>
          <w:p w14:paraId="2FC37B91" w14:textId="77777777" w:rsidR="00B4309F" w:rsidRDefault="00B4309F" w:rsidP="00FD0561">
            <w:pPr>
              <w:jc w:val="both"/>
              <w:rPr>
                <w:rFonts w:ascii="Cambria" w:hAnsi="Cambria" w:cs="Arial"/>
                <w:color w:val="000000"/>
                <w:sz w:val="22"/>
                <w:szCs w:val="22"/>
              </w:rPr>
            </w:pPr>
          </w:p>
          <w:p w14:paraId="7968314E" w14:textId="64F8EBC4" w:rsidR="00B4309F" w:rsidRDefault="00B4309F" w:rsidP="00FD0561">
            <w:pPr>
              <w:jc w:val="both"/>
              <w:rPr>
                <w:rFonts w:ascii="Cambria" w:hAnsi="Cambria" w:cs="Arial"/>
                <w:color w:val="000000"/>
                <w:sz w:val="22"/>
                <w:szCs w:val="22"/>
                <w:lang w:bidi="en-US"/>
              </w:rPr>
            </w:pPr>
            <w:r w:rsidRPr="00235B77">
              <w:rPr>
                <w:rFonts w:ascii="Cambria" w:hAnsi="Cambria" w:cs="Arial"/>
                <w:sz w:val="22"/>
                <w:szCs w:val="22"/>
              </w:rPr>
              <w:t xml:space="preserve">The Consultant will </w:t>
            </w:r>
            <w:r>
              <w:rPr>
                <w:rFonts w:ascii="Cambria" w:hAnsi="Cambria" w:cs="Arial"/>
                <w:sz w:val="22"/>
                <w:szCs w:val="22"/>
              </w:rPr>
              <w:t>play a pivotal role</w:t>
            </w:r>
            <w:r w:rsidR="00985F87">
              <w:rPr>
                <w:rFonts w:ascii="Cambria" w:hAnsi="Cambria" w:cs="Arial"/>
                <w:sz w:val="22"/>
                <w:szCs w:val="22"/>
              </w:rPr>
              <w:t xml:space="preserve">, alongside the IEU team, </w:t>
            </w:r>
            <w:r>
              <w:rPr>
                <w:rFonts w:ascii="Cambria" w:hAnsi="Cambria" w:cs="Arial"/>
                <w:sz w:val="22"/>
                <w:szCs w:val="22"/>
              </w:rPr>
              <w:t xml:space="preserve">in delivering </w:t>
            </w:r>
            <w:r w:rsidRPr="00235B77">
              <w:rPr>
                <w:rFonts w:ascii="Cambria" w:hAnsi="Cambria" w:cs="Arial"/>
                <w:color w:val="000000"/>
                <w:sz w:val="22"/>
                <w:szCs w:val="22"/>
                <w:lang w:bidi="en-US"/>
              </w:rPr>
              <w:t xml:space="preserve">the </w:t>
            </w:r>
            <w:r>
              <w:rPr>
                <w:rFonts w:ascii="Cambria" w:hAnsi="Cambria" w:cs="Arial"/>
                <w:color w:val="000000"/>
                <w:sz w:val="22"/>
                <w:szCs w:val="22"/>
                <w:lang w:bidi="en-US"/>
              </w:rPr>
              <w:t>i</w:t>
            </w:r>
            <w:r w:rsidRPr="00235B77">
              <w:rPr>
                <w:rFonts w:ascii="Cambria" w:hAnsi="Cambria" w:cs="Arial"/>
                <w:color w:val="000000"/>
                <w:sz w:val="22"/>
                <w:szCs w:val="22"/>
                <w:lang w:bidi="en-US"/>
              </w:rPr>
              <w:t>ndependent evaluation of the GCF’s Simplified Approval Process</w:t>
            </w:r>
            <w:r>
              <w:rPr>
                <w:rFonts w:ascii="Cambria" w:hAnsi="Cambria" w:cs="Arial"/>
                <w:color w:val="000000"/>
                <w:sz w:val="22"/>
                <w:szCs w:val="22"/>
                <w:lang w:bidi="en-US"/>
              </w:rPr>
              <w:t xml:space="preserve"> as outlined in the Board-approved workplan and budget for the IEU in 2025. </w:t>
            </w:r>
            <w:r w:rsidR="00985F87">
              <w:rPr>
                <w:rFonts w:ascii="Cambria" w:hAnsi="Cambria" w:cs="Arial"/>
                <w:color w:val="000000"/>
                <w:sz w:val="22"/>
                <w:szCs w:val="22"/>
                <w:lang w:bidi="en-US"/>
              </w:rPr>
              <w:t xml:space="preserve">The consultant will be considered a core member of the </w:t>
            </w:r>
            <w:r w:rsidR="00F43E3B">
              <w:rPr>
                <w:rFonts w:ascii="Cambria" w:hAnsi="Cambria" w:cs="Arial"/>
                <w:color w:val="000000"/>
                <w:sz w:val="22"/>
                <w:szCs w:val="22"/>
                <w:lang w:bidi="en-US"/>
              </w:rPr>
              <w:t>evaluation</w:t>
            </w:r>
            <w:r w:rsidR="00985F87">
              <w:rPr>
                <w:rFonts w:ascii="Cambria" w:hAnsi="Cambria" w:cs="Arial"/>
                <w:color w:val="000000"/>
                <w:sz w:val="22"/>
                <w:szCs w:val="22"/>
                <w:lang w:bidi="en-US"/>
              </w:rPr>
              <w:t xml:space="preserve"> team</w:t>
            </w:r>
            <w:r w:rsidR="00F43E3B">
              <w:rPr>
                <w:rFonts w:ascii="Cambria" w:hAnsi="Cambria" w:cs="Arial"/>
                <w:color w:val="000000"/>
                <w:sz w:val="22"/>
                <w:szCs w:val="22"/>
                <w:lang w:bidi="en-US"/>
              </w:rPr>
              <w:t xml:space="preserve"> and as such support the delivery of this evaluation</w:t>
            </w:r>
            <w:r w:rsidR="00985F87">
              <w:rPr>
                <w:rFonts w:ascii="Cambria" w:hAnsi="Cambria" w:cs="Arial"/>
                <w:color w:val="000000"/>
                <w:sz w:val="22"/>
                <w:szCs w:val="22"/>
                <w:lang w:bidi="en-US"/>
              </w:rPr>
              <w:t xml:space="preserve">. </w:t>
            </w:r>
          </w:p>
          <w:p w14:paraId="2D38700D" w14:textId="77777777" w:rsidR="00B4309F" w:rsidRDefault="00B4309F" w:rsidP="00FD0561">
            <w:pPr>
              <w:jc w:val="both"/>
              <w:rPr>
                <w:rFonts w:ascii="Cambria" w:hAnsi="Cambria" w:cs="Arial"/>
                <w:color w:val="000000"/>
                <w:sz w:val="22"/>
                <w:szCs w:val="22"/>
                <w:lang w:bidi="en-US"/>
              </w:rPr>
            </w:pPr>
          </w:p>
          <w:p w14:paraId="692F8028" w14:textId="77777777" w:rsidR="00B4309F" w:rsidRPr="00235B77" w:rsidRDefault="00B4309F" w:rsidP="00FD0561">
            <w:pPr>
              <w:jc w:val="both"/>
              <w:rPr>
                <w:rFonts w:ascii="Cambria" w:hAnsi="Cambria" w:cs="Arial"/>
                <w:sz w:val="22"/>
                <w:szCs w:val="22"/>
              </w:rPr>
            </w:pPr>
            <w:r>
              <w:rPr>
                <w:rFonts w:ascii="Cambria" w:hAnsi="Cambria" w:cs="Arial"/>
                <w:color w:val="000000"/>
                <w:sz w:val="22"/>
                <w:szCs w:val="22"/>
                <w:lang w:bidi="en-US"/>
              </w:rPr>
              <w:t>The Consultant will be available to work starting on 06 January 2025 until 04 July 2025.  The assignment may take up to 60 - 70 working days.</w:t>
            </w:r>
          </w:p>
          <w:p w14:paraId="5E546BC6" w14:textId="77777777" w:rsidR="00B4309F" w:rsidRDefault="00B4309F" w:rsidP="00FD0561">
            <w:pPr>
              <w:jc w:val="both"/>
              <w:rPr>
                <w:rFonts w:ascii="Cambria" w:hAnsi="Cambria" w:cs="Arial"/>
                <w:color w:val="000000"/>
                <w:sz w:val="22"/>
                <w:szCs w:val="22"/>
                <w:lang w:bidi="en-US"/>
              </w:rPr>
            </w:pPr>
          </w:p>
          <w:p w14:paraId="67B784B0" w14:textId="77777777" w:rsidR="00B4309F" w:rsidRPr="00763F82" w:rsidRDefault="00B4309F" w:rsidP="00FD0561">
            <w:pPr>
              <w:jc w:val="both"/>
              <w:rPr>
                <w:rFonts w:ascii="Cambria" w:hAnsi="Cambria" w:cs="Arial"/>
                <w:color w:val="000000"/>
                <w:sz w:val="22"/>
                <w:szCs w:val="22"/>
                <w:lang w:bidi="en-US"/>
              </w:rPr>
            </w:pPr>
            <w:r w:rsidRPr="00763F82">
              <w:rPr>
                <w:rFonts w:ascii="Cambria" w:hAnsi="Cambria" w:cs="Arial"/>
                <w:color w:val="000000"/>
                <w:sz w:val="22"/>
                <w:szCs w:val="22"/>
                <w:lang w:bidi="en-US"/>
              </w:rPr>
              <w:t>The selected</w:t>
            </w:r>
            <w:r>
              <w:rPr>
                <w:rFonts w:ascii="Cambria" w:hAnsi="Cambria" w:cs="Arial"/>
                <w:color w:val="000000"/>
                <w:sz w:val="22"/>
                <w:szCs w:val="22"/>
                <w:lang w:bidi="en-US"/>
              </w:rPr>
              <w:t xml:space="preserve"> consultant</w:t>
            </w:r>
            <w:r w:rsidRPr="00763F82">
              <w:rPr>
                <w:rFonts w:ascii="Cambria" w:hAnsi="Cambria" w:cs="Arial"/>
                <w:color w:val="000000"/>
                <w:sz w:val="22"/>
                <w:szCs w:val="22"/>
                <w:lang w:bidi="en-US"/>
              </w:rPr>
              <w:t xml:space="preserve"> shall </w:t>
            </w:r>
            <w:r>
              <w:rPr>
                <w:rFonts w:ascii="Cambria" w:hAnsi="Cambria" w:cs="Arial"/>
                <w:color w:val="000000"/>
                <w:sz w:val="22"/>
                <w:szCs w:val="22"/>
                <w:lang w:bidi="en-US"/>
              </w:rPr>
              <w:t>play a pivotal role in delivering the i</w:t>
            </w:r>
            <w:r w:rsidRPr="00763F82">
              <w:rPr>
                <w:rFonts w:ascii="Cambria" w:hAnsi="Cambria" w:cs="Arial"/>
                <w:color w:val="000000"/>
                <w:sz w:val="22"/>
                <w:szCs w:val="22"/>
                <w:lang w:bidi="en-US"/>
              </w:rPr>
              <w:t>ndependent evaluation of the GCF’s Simplified Approval Process</w:t>
            </w:r>
            <w:r>
              <w:rPr>
                <w:rFonts w:ascii="Cambria" w:hAnsi="Cambria" w:cs="Arial"/>
                <w:color w:val="000000"/>
                <w:sz w:val="22"/>
                <w:szCs w:val="22"/>
                <w:lang w:bidi="en-US"/>
              </w:rPr>
              <w:t xml:space="preserve"> through the use of the following evaluation criteria and questions.</w:t>
            </w:r>
          </w:p>
          <w:p w14:paraId="066A3426" w14:textId="77777777" w:rsidR="00B4309F" w:rsidRPr="00763F82" w:rsidRDefault="00B4309F" w:rsidP="00FD0561">
            <w:pPr>
              <w:jc w:val="both"/>
              <w:rPr>
                <w:rFonts w:ascii="Cambria" w:hAnsi="Cambria" w:cs="Arial"/>
                <w:color w:val="000000"/>
                <w:sz w:val="22"/>
                <w:szCs w:val="22"/>
                <w:lang w:bidi="en-US"/>
              </w:rPr>
            </w:pPr>
          </w:p>
          <w:p w14:paraId="335F51F9" w14:textId="77777777" w:rsidR="00B4309F" w:rsidRPr="00763F82" w:rsidRDefault="00B4309F" w:rsidP="00FD0561">
            <w:pPr>
              <w:jc w:val="both"/>
              <w:rPr>
                <w:rFonts w:ascii="Cambria" w:hAnsi="Cambria" w:cs="Arial"/>
                <w:color w:val="000000"/>
                <w:sz w:val="22"/>
                <w:szCs w:val="22"/>
                <w:lang w:bidi="en-US"/>
              </w:rPr>
            </w:pPr>
            <w:r w:rsidRPr="00763F82">
              <w:rPr>
                <w:rFonts w:ascii="Cambria" w:hAnsi="Cambria" w:cs="Arial"/>
                <w:i/>
                <w:iCs/>
                <w:color w:val="000000"/>
                <w:sz w:val="22"/>
                <w:szCs w:val="22"/>
                <w:lang w:bidi="en-US"/>
              </w:rPr>
              <w:t>Relevance</w:t>
            </w:r>
            <w:r w:rsidRPr="00763F82">
              <w:rPr>
                <w:rFonts w:ascii="Cambria" w:hAnsi="Cambria" w:cs="Arial"/>
                <w:color w:val="000000"/>
                <w:sz w:val="22"/>
                <w:szCs w:val="22"/>
                <w:lang w:bidi="en-US"/>
              </w:rPr>
              <w:t>: The degree to which the GCF’s Simplified Approval Process is fit-for-purpose, sufficiently targeted and agile enough to meet the needs of the GCF, with an emphasis on the extent to which the objectives, design and operationalization of the Policy respond to and adapt to institutional needs.</w:t>
            </w:r>
          </w:p>
          <w:p w14:paraId="6AD891D3" w14:textId="77777777" w:rsidR="00B4309F" w:rsidRPr="00763F82" w:rsidRDefault="00B4309F" w:rsidP="00FD0561">
            <w:pPr>
              <w:jc w:val="both"/>
              <w:rPr>
                <w:rFonts w:ascii="Cambria" w:hAnsi="Cambria" w:cs="Arial"/>
                <w:color w:val="000000"/>
                <w:sz w:val="22"/>
                <w:szCs w:val="22"/>
                <w:lang w:bidi="en-US"/>
              </w:rPr>
            </w:pPr>
          </w:p>
          <w:p w14:paraId="115F39BA" w14:textId="77777777" w:rsidR="00B4309F" w:rsidRPr="00763F82" w:rsidRDefault="00B4309F" w:rsidP="00FD0561">
            <w:pPr>
              <w:jc w:val="both"/>
              <w:rPr>
                <w:rFonts w:ascii="Cambria" w:hAnsi="Cambria" w:cs="Arial"/>
                <w:color w:val="000000"/>
                <w:sz w:val="22"/>
                <w:szCs w:val="22"/>
                <w:lang w:bidi="en-US"/>
              </w:rPr>
            </w:pPr>
            <w:r w:rsidRPr="00763F82">
              <w:rPr>
                <w:rFonts w:ascii="Cambria" w:hAnsi="Cambria" w:cs="Arial"/>
                <w:i/>
                <w:iCs/>
                <w:color w:val="000000"/>
                <w:sz w:val="22"/>
                <w:szCs w:val="22"/>
                <w:lang w:bidi="en-US"/>
              </w:rPr>
              <w:t>Effectiveness</w:t>
            </w:r>
            <w:r w:rsidRPr="00763F82">
              <w:rPr>
                <w:rFonts w:ascii="Cambria" w:hAnsi="Cambria" w:cs="Arial"/>
                <w:color w:val="000000"/>
                <w:sz w:val="22"/>
                <w:szCs w:val="22"/>
                <w:lang w:bidi="en-US"/>
              </w:rPr>
              <w:t xml:space="preserve">: The degree to which the GCF’s Simplified Approval Process successfully delivers on its mandate to streamline and speed up effective programming of climate projects, including explaining the factors driving or hindering successful implementation, and the extent to which the SAP achieves all its objectives and expected results. </w:t>
            </w:r>
          </w:p>
          <w:p w14:paraId="0D36419B" w14:textId="77777777" w:rsidR="00B4309F" w:rsidRPr="00763F82" w:rsidRDefault="00B4309F" w:rsidP="00FD0561">
            <w:pPr>
              <w:jc w:val="both"/>
              <w:rPr>
                <w:rFonts w:ascii="Cambria" w:hAnsi="Cambria" w:cs="Arial"/>
                <w:color w:val="000000"/>
                <w:sz w:val="22"/>
                <w:szCs w:val="22"/>
                <w:lang w:bidi="en-US"/>
              </w:rPr>
            </w:pPr>
          </w:p>
          <w:p w14:paraId="757F9126" w14:textId="77777777" w:rsidR="00B4309F" w:rsidRPr="00763F82" w:rsidRDefault="00B4309F" w:rsidP="00FD0561">
            <w:pPr>
              <w:jc w:val="both"/>
              <w:rPr>
                <w:rFonts w:ascii="Cambria" w:hAnsi="Cambria" w:cs="Arial"/>
                <w:color w:val="000000"/>
                <w:sz w:val="22"/>
                <w:szCs w:val="22"/>
                <w:lang w:bidi="en-US"/>
              </w:rPr>
            </w:pPr>
            <w:r w:rsidRPr="00763F82">
              <w:rPr>
                <w:rFonts w:ascii="Cambria" w:hAnsi="Cambria" w:cs="Arial"/>
                <w:i/>
                <w:iCs/>
                <w:color w:val="000000"/>
                <w:sz w:val="22"/>
                <w:szCs w:val="22"/>
                <w:lang w:bidi="en-US"/>
              </w:rPr>
              <w:t>Efficiency</w:t>
            </w:r>
            <w:r w:rsidRPr="00763F82">
              <w:rPr>
                <w:rFonts w:ascii="Cambria" w:hAnsi="Cambria" w:cs="Arial"/>
                <w:color w:val="000000"/>
                <w:sz w:val="22"/>
                <w:szCs w:val="22"/>
                <w:lang w:bidi="en-US"/>
              </w:rPr>
              <w:t>: The extent to which the SAP modality delivers results in an economic and timely way compared to feasible alternatives in the GCF context</w:t>
            </w:r>
          </w:p>
          <w:p w14:paraId="39F067B3" w14:textId="77777777" w:rsidR="00B4309F" w:rsidRPr="00763F82" w:rsidRDefault="00B4309F" w:rsidP="00FD0561">
            <w:pPr>
              <w:jc w:val="both"/>
              <w:rPr>
                <w:rFonts w:ascii="Cambria" w:hAnsi="Cambria" w:cs="Arial"/>
                <w:color w:val="000000"/>
                <w:sz w:val="22"/>
                <w:szCs w:val="22"/>
                <w:lang w:bidi="en-US"/>
              </w:rPr>
            </w:pPr>
          </w:p>
          <w:p w14:paraId="56C71278" w14:textId="77777777" w:rsidR="00B4309F" w:rsidRPr="00763F82" w:rsidRDefault="00B4309F" w:rsidP="00FD0561">
            <w:pPr>
              <w:jc w:val="both"/>
              <w:rPr>
                <w:rFonts w:ascii="Cambria" w:hAnsi="Cambria" w:cs="Arial"/>
                <w:color w:val="000000"/>
                <w:sz w:val="22"/>
                <w:szCs w:val="22"/>
                <w:lang w:bidi="en-US"/>
              </w:rPr>
            </w:pPr>
            <w:r w:rsidRPr="00763F82">
              <w:rPr>
                <w:rFonts w:ascii="Cambria" w:hAnsi="Cambria" w:cs="Arial"/>
                <w:i/>
                <w:iCs/>
                <w:color w:val="000000"/>
                <w:sz w:val="22"/>
                <w:szCs w:val="22"/>
                <w:lang w:bidi="en-US"/>
              </w:rPr>
              <w:t>Coherence</w:t>
            </w:r>
            <w:r w:rsidRPr="00763F82">
              <w:rPr>
                <w:rFonts w:ascii="Cambria" w:hAnsi="Cambria" w:cs="Arial"/>
                <w:color w:val="000000"/>
                <w:sz w:val="22"/>
                <w:szCs w:val="22"/>
                <w:lang w:bidi="en-US"/>
              </w:rPr>
              <w:t xml:space="preserve">:  The degree to which the GCF’s Simplified Approval Process operates together with other internal modalities and policies to achieve strategic goals and objectives (internal coherence) alongside the consistency, complementarity, </w:t>
            </w:r>
            <w:proofErr w:type="spellStart"/>
            <w:r w:rsidRPr="00763F82">
              <w:rPr>
                <w:rFonts w:ascii="Cambria" w:hAnsi="Cambria" w:cs="Arial"/>
                <w:color w:val="000000"/>
                <w:sz w:val="22"/>
                <w:szCs w:val="22"/>
                <w:lang w:bidi="en-US"/>
              </w:rPr>
              <w:t>harmonisation</w:t>
            </w:r>
            <w:proofErr w:type="spellEnd"/>
            <w:r w:rsidRPr="00763F82">
              <w:rPr>
                <w:rFonts w:ascii="Cambria" w:hAnsi="Cambria" w:cs="Arial"/>
                <w:color w:val="000000"/>
                <w:sz w:val="22"/>
                <w:szCs w:val="22"/>
                <w:lang w:bidi="en-US"/>
              </w:rPr>
              <w:t xml:space="preserve"> and co-ordination with other climate funds, ensuring SAP is adding value while avoiding duplication of effort.</w:t>
            </w:r>
          </w:p>
          <w:p w14:paraId="2E1C7AA2" w14:textId="77777777" w:rsidR="00B4309F" w:rsidRPr="00763F82" w:rsidRDefault="00B4309F" w:rsidP="00FD0561">
            <w:pPr>
              <w:jc w:val="both"/>
              <w:rPr>
                <w:rFonts w:ascii="Cambria" w:hAnsi="Cambria" w:cs="Arial"/>
                <w:color w:val="000000"/>
                <w:sz w:val="22"/>
                <w:szCs w:val="22"/>
                <w:lang w:bidi="en-US"/>
              </w:rPr>
            </w:pPr>
          </w:p>
          <w:p w14:paraId="1599680E" w14:textId="5E7868B0" w:rsidR="00B4309F" w:rsidRDefault="00B4309F" w:rsidP="00FD0561">
            <w:pPr>
              <w:jc w:val="both"/>
              <w:rPr>
                <w:rFonts w:ascii="Cambria" w:hAnsi="Cambria" w:cs="Arial"/>
                <w:color w:val="000000"/>
                <w:sz w:val="22"/>
                <w:szCs w:val="22"/>
                <w:lang w:bidi="en-US"/>
              </w:rPr>
            </w:pPr>
            <w:r w:rsidRPr="00763F82">
              <w:rPr>
                <w:rFonts w:ascii="Cambria" w:hAnsi="Cambria" w:cs="Arial"/>
                <w:i/>
                <w:iCs/>
                <w:color w:val="000000"/>
                <w:sz w:val="22"/>
                <w:szCs w:val="22"/>
                <w:lang w:bidi="en-US"/>
              </w:rPr>
              <w:t>Impact</w:t>
            </w:r>
            <w:r w:rsidRPr="00763F82">
              <w:rPr>
                <w:rFonts w:ascii="Cambria" w:hAnsi="Cambria" w:cs="Arial"/>
                <w:color w:val="000000"/>
                <w:sz w:val="22"/>
                <w:szCs w:val="22"/>
                <w:lang w:bidi="en-US"/>
              </w:rPr>
              <w:t>: The extent to which the GCF’s Simplified Approval Process has generated significant positive or negative, intended or unintended, higher-level effects.</w:t>
            </w:r>
            <w:r w:rsidR="005F6C78">
              <w:rPr>
                <w:rFonts w:ascii="Cambria" w:hAnsi="Cambria" w:cs="Arial"/>
                <w:color w:val="000000"/>
                <w:sz w:val="22"/>
                <w:szCs w:val="22"/>
                <w:lang w:bidi="en-US"/>
              </w:rPr>
              <w:t xml:space="preserve"> </w:t>
            </w:r>
          </w:p>
          <w:p w14:paraId="39399456" w14:textId="77777777" w:rsidR="00B4309F" w:rsidRDefault="00B4309F" w:rsidP="00FD0561">
            <w:pPr>
              <w:jc w:val="both"/>
              <w:rPr>
                <w:rFonts w:ascii="Cambria" w:hAnsi="Cambria" w:cs="Arial"/>
                <w:color w:val="000000"/>
                <w:sz w:val="22"/>
                <w:szCs w:val="22"/>
                <w:lang w:bidi="en-US"/>
              </w:rPr>
            </w:pPr>
          </w:p>
          <w:p w14:paraId="70FC8A5F" w14:textId="77777777" w:rsidR="00B4309F" w:rsidRPr="00763F82" w:rsidRDefault="00B4309F" w:rsidP="00FD0561">
            <w:pPr>
              <w:jc w:val="both"/>
              <w:rPr>
                <w:rFonts w:ascii="Cambria" w:hAnsi="Cambria" w:cs="Arial"/>
                <w:color w:val="000000"/>
                <w:sz w:val="22"/>
                <w:szCs w:val="22"/>
                <w:lang w:bidi="en-US"/>
              </w:rPr>
            </w:pPr>
            <w:r>
              <w:rPr>
                <w:rFonts w:ascii="Cambria" w:hAnsi="Cambria" w:cs="Arial"/>
                <w:color w:val="000000"/>
                <w:sz w:val="22"/>
                <w:szCs w:val="22"/>
                <w:lang w:bidi="en-US"/>
              </w:rPr>
              <w:t xml:space="preserve">The consultant will cover the following </w:t>
            </w:r>
            <w:r w:rsidRPr="00763F82">
              <w:rPr>
                <w:rFonts w:ascii="Cambria" w:hAnsi="Cambria" w:cs="Arial"/>
                <w:color w:val="000000"/>
                <w:sz w:val="22"/>
                <w:szCs w:val="22"/>
                <w:lang w:bidi="en-US"/>
              </w:rPr>
              <w:t xml:space="preserve">three (3) areas: </w:t>
            </w:r>
          </w:p>
          <w:p w14:paraId="23554444" w14:textId="77777777" w:rsidR="00B4309F" w:rsidRPr="00763F82" w:rsidRDefault="00B4309F" w:rsidP="00FD0561">
            <w:pPr>
              <w:jc w:val="both"/>
              <w:rPr>
                <w:rFonts w:ascii="Cambria" w:hAnsi="Cambria" w:cs="Arial"/>
                <w:color w:val="000000"/>
                <w:sz w:val="22"/>
                <w:szCs w:val="22"/>
                <w:lang w:bidi="en-US"/>
              </w:rPr>
            </w:pPr>
          </w:p>
          <w:p w14:paraId="1928B1F5" w14:textId="1A93DE60" w:rsidR="00B4309F" w:rsidRPr="00763F82" w:rsidRDefault="00B4309F" w:rsidP="00FD0561">
            <w:pPr>
              <w:jc w:val="both"/>
              <w:rPr>
                <w:rFonts w:ascii="Cambria" w:hAnsi="Cambria" w:cs="Arial"/>
                <w:color w:val="000000"/>
                <w:sz w:val="22"/>
                <w:szCs w:val="22"/>
                <w:lang w:bidi="en-US"/>
              </w:rPr>
            </w:pPr>
            <w:r w:rsidRPr="00763F82">
              <w:rPr>
                <w:rFonts w:ascii="Cambria" w:hAnsi="Cambria" w:cs="Arial"/>
                <w:color w:val="000000"/>
                <w:sz w:val="22"/>
                <w:szCs w:val="22"/>
                <w:lang w:bidi="en-US"/>
              </w:rPr>
              <w:t>(a)</w:t>
            </w:r>
            <w:r w:rsidRPr="00763F82">
              <w:rPr>
                <w:rFonts w:ascii="Cambria" w:hAnsi="Cambria" w:cs="Arial"/>
                <w:color w:val="000000"/>
                <w:sz w:val="22"/>
                <w:szCs w:val="22"/>
                <w:lang w:bidi="en-US"/>
              </w:rPr>
              <w:tab/>
            </w:r>
            <w:r w:rsidRPr="00763F82">
              <w:rPr>
                <w:rFonts w:ascii="Cambria" w:hAnsi="Cambria" w:cs="Arial"/>
                <w:i/>
                <w:iCs/>
                <w:color w:val="000000"/>
                <w:sz w:val="22"/>
                <w:szCs w:val="22"/>
                <w:lang w:bidi="en-US"/>
              </w:rPr>
              <w:t>GCF strategies, policies, standards, manuals and guidance documents:</w:t>
            </w:r>
            <w:r w:rsidRPr="00763F82">
              <w:rPr>
                <w:rFonts w:ascii="Cambria" w:hAnsi="Cambria" w:cs="Arial"/>
                <w:color w:val="000000"/>
                <w:sz w:val="22"/>
                <w:szCs w:val="22"/>
                <w:lang w:bidi="en-US"/>
              </w:rPr>
              <w:t xml:space="preserve"> The selected con</w:t>
            </w:r>
            <w:r>
              <w:rPr>
                <w:rFonts w:ascii="Cambria" w:hAnsi="Cambria" w:cs="Arial"/>
                <w:color w:val="000000"/>
                <w:sz w:val="22"/>
                <w:szCs w:val="22"/>
                <w:lang w:bidi="en-US"/>
              </w:rPr>
              <w:t xml:space="preserve">sultant </w:t>
            </w:r>
            <w:r w:rsidRPr="00763F82">
              <w:rPr>
                <w:rFonts w:ascii="Cambria" w:hAnsi="Cambria" w:cs="Arial"/>
                <w:color w:val="000000"/>
                <w:sz w:val="22"/>
                <w:szCs w:val="22"/>
                <w:lang w:bidi="en-US"/>
              </w:rPr>
              <w:t xml:space="preserve">shall </w:t>
            </w:r>
            <w:r w:rsidR="00004005">
              <w:rPr>
                <w:rFonts w:ascii="Cambria" w:hAnsi="Cambria" w:cs="Arial"/>
                <w:color w:val="000000"/>
                <w:sz w:val="22"/>
                <w:szCs w:val="22"/>
                <w:lang w:bidi="en-US"/>
              </w:rPr>
              <w:t xml:space="preserve">support the </w:t>
            </w:r>
            <w:r w:rsidRPr="00763F82">
              <w:rPr>
                <w:rFonts w:ascii="Cambria" w:hAnsi="Cambria" w:cs="Arial"/>
                <w:color w:val="000000"/>
                <w:sz w:val="22"/>
                <w:szCs w:val="22"/>
                <w:lang w:bidi="en-US"/>
              </w:rPr>
              <w:t xml:space="preserve">review the GCF’s suite of policies including relevant updates and associated decisions including but not limited to the Updated simplified approval process (decision B.32/05); Initial fiduciary principles and standards (decision B.07/02); Revised environmental and social policy (decision B.BM-2021/18); Indigenous peoples policy (decision B.19/11); Updated gender policy and gender action plan 2020–2023 (decision B.24/12); Integrated results management framework (decision B.29/01); Investment framework for 2024–2027 (decision B.37/20); Risk management framework (decision B.17/11); Investment risk policy (decision B.19/04); Policy on Co-financing (decision B.24/14); Project and programme activity cycle (decision B.17/09) and annex IV, “Updated project and programme cycle”; revised Accreditation Strategy (decision B.34/19), Updated Strategic Plan 2024-2027 (decision B.36/13) revised RPSP strategy 2024-2027 (GCF/B.37/17), and revised Accreditation framework (B.40). </w:t>
            </w:r>
          </w:p>
          <w:p w14:paraId="493FC1E5" w14:textId="77777777" w:rsidR="00B4309F" w:rsidRPr="00763F82" w:rsidRDefault="00B4309F" w:rsidP="00FD0561">
            <w:pPr>
              <w:jc w:val="both"/>
              <w:rPr>
                <w:rFonts w:ascii="Cambria" w:hAnsi="Cambria" w:cs="Arial"/>
                <w:color w:val="000000"/>
                <w:sz w:val="22"/>
                <w:szCs w:val="22"/>
                <w:lang w:bidi="en-US"/>
              </w:rPr>
            </w:pPr>
          </w:p>
          <w:p w14:paraId="2DFE4961" w14:textId="54A7509A" w:rsidR="00B4309F" w:rsidRPr="00763F82" w:rsidRDefault="00B4309F" w:rsidP="00FD0561">
            <w:pPr>
              <w:jc w:val="both"/>
              <w:rPr>
                <w:rFonts w:ascii="Cambria" w:hAnsi="Cambria" w:cs="Arial"/>
                <w:color w:val="000000"/>
                <w:sz w:val="22"/>
                <w:szCs w:val="22"/>
                <w:lang w:bidi="en-US"/>
              </w:rPr>
            </w:pPr>
            <w:r w:rsidRPr="00763F82">
              <w:rPr>
                <w:rFonts w:ascii="Cambria" w:hAnsi="Cambria" w:cs="Arial"/>
                <w:color w:val="000000"/>
                <w:sz w:val="22"/>
                <w:szCs w:val="22"/>
                <w:lang w:bidi="en-US"/>
              </w:rPr>
              <w:t>(b)</w:t>
            </w:r>
            <w:r w:rsidRPr="00763F82">
              <w:rPr>
                <w:rFonts w:ascii="Cambria" w:hAnsi="Cambria" w:cs="Arial"/>
                <w:color w:val="000000"/>
                <w:sz w:val="22"/>
                <w:szCs w:val="22"/>
                <w:lang w:bidi="en-US"/>
              </w:rPr>
              <w:tab/>
            </w:r>
            <w:r w:rsidRPr="00763F82">
              <w:rPr>
                <w:rFonts w:ascii="Cambria" w:hAnsi="Cambria" w:cs="Arial"/>
                <w:i/>
                <w:iCs/>
                <w:color w:val="000000"/>
                <w:sz w:val="22"/>
                <w:szCs w:val="22"/>
                <w:lang w:bidi="en-US"/>
              </w:rPr>
              <w:t>GCF processes, operations and implementation</w:t>
            </w:r>
            <w:r w:rsidRPr="00763F82">
              <w:rPr>
                <w:rFonts w:ascii="Cambria" w:hAnsi="Cambria" w:cs="Arial"/>
                <w:color w:val="000000"/>
                <w:sz w:val="22"/>
                <w:szCs w:val="22"/>
                <w:lang w:bidi="en-US"/>
              </w:rPr>
              <w:t>: The selected con</w:t>
            </w:r>
            <w:r>
              <w:rPr>
                <w:rFonts w:ascii="Cambria" w:hAnsi="Cambria" w:cs="Arial"/>
                <w:color w:val="000000"/>
                <w:sz w:val="22"/>
                <w:szCs w:val="22"/>
                <w:lang w:bidi="en-US"/>
              </w:rPr>
              <w:t xml:space="preserve">sultant </w:t>
            </w:r>
            <w:r w:rsidRPr="00763F82">
              <w:rPr>
                <w:rFonts w:ascii="Cambria" w:hAnsi="Cambria" w:cs="Arial"/>
                <w:color w:val="000000"/>
                <w:sz w:val="22"/>
                <w:szCs w:val="22"/>
                <w:lang w:bidi="en-US"/>
              </w:rPr>
              <w:t xml:space="preserve">shall </w:t>
            </w:r>
            <w:r w:rsidR="005F6C78">
              <w:rPr>
                <w:rFonts w:ascii="Cambria" w:hAnsi="Cambria" w:cs="Arial"/>
                <w:color w:val="000000"/>
                <w:sz w:val="22"/>
                <w:szCs w:val="22"/>
                <w:lang w:bidi="en-US"/>
              </w:rPr>
              <w:t xml:space="preserve">support </w:t>
            </w:r>
            <w:r w:rsidR="00F43E3B">
              <w:rPr>
                <w:rFonts w:ascii="Cambria" w:hAnsi="Cambria" w:cs="Arial"/>
                <w:color w:val="000000"/>
                <w:sz w:val="22"/>
                <w:szCs w:val="22"/>
                <w:lang w:bidi="en-US"/>
              </w:rPr>
              <w:t xml:space="preserve">and </w:t>
            </w:r>
            <w:r w:rsidRPr="00763F82">
              <w:rPr>
                <w:rFonts w:ascii="Cambria" w:hAnsi="Cambria" w:cs="Arial"/>
                <w:color w:val="000000"/>
                <w:sz w:val="22"/>
                <w:szCs w:val="22"/>
                <w:lang w:bidi="en-US"/>
              </w:rPr>
              <w:t xml:space="preserve">review processes that underpin the operationalization of the simplified approval process, operational linkages with PPF and RPSP as well as potential overlaps with these and wider modalities including PSAA, as well as implementation the simplified approval process guidance documents, templates, and manuals. </w:t>
            </w:r>
          </w:p>
          <w:p w14:paraId="0F51EA41" w14:textId="77777777" w:rsidR="00B4309F" w:rsidRPr="00763F82" w:rsidRDefault="00B4309F" w:rsidP="00FD0561">
            <w:pPr>
              <w:jc w:val="both"/>
              <w:rPr>
                <w:rFonts w:ascii="Cambria" w:hAnsi="Cambria" w:cs="Arial"/>
                <w:color w:val="000000"/>
                <w:sz w:val="22"/>
                <w:szCs w:val="22"/>
                <w:lang w:bidi="en-US"/>
              </w:rPr>
            </w:pPr>
          </w:p>
          <w:p w14:paraId="54947530" w14:textId="53AF7BAE" w:rsidR="00B4309F" w:rsidRDefault="00B4309F" w:rsidP="00FD0561">
            <w:pPr>
              <w:jc w:val="both"/>
              <w:rPr>
                <w:rFonts w:ascii="Cambria" w:hAnsi="Cambria" w:cs="Arial"/>
                <w:color w:val="000000"/>
                <w:sz w:val="22"/>
                <w:szCs w:val="22"/>
                <w:lang w:bidi="en-US"/>
              </w:rPr>
            </w:pPr>
            <w:r w:rsidRPr="00763F82">
              <w:rPr>
                <w:rFonts w:ascii="Cambria" w:hAnsi="Cambria" w:cs="Arial"/>
                <w:color w:val="000000"/>
                <w:sz w:val="22"/>
                <w:szCs w:val="22"/>
                <w:lang w:bidi="en-US"/>
              </w:rPr>
              <w:t>(c)</w:t>
            </w:r>
            <w:r w:rsidRPr="00763F82">
              <w:rPr>
                <w:rFonts w:ascii="Cambria" w:hAnsi="Cambria" w:cs="Arial"/>
                <w:color w:val="000000"/>
                <w:sz w:val="22"/>
                <w:szCs w:val="22"/>
                <w:lang w:bidi="en-US"/>
              </w:rPr>
              <w:tab/>
            </w:r>
            <w:r w:rsidRPr="00763F82">
              <w:rPr>
                <w:rFonts w:ascii="Cambria" w:hAnsi="Cambria" w:cs="Arial"/>
                <w:i/>
                <w:iCs/>
                <w:color w:val="000000"/>
                <w:sz w:val="22"/>
                <w:szCs w:val="22"/>
                <w:lang w:bidi="en-US"/>
              </w:rPr>
              <w:t>Results, outcomes and impacts of the SAP modality</w:t>
            </w:r>
            <w:r w:rsidRPr="00763F82">
              <w:rPr>
                <w:rFonts w:ascii="Cambria" w:hAnsi="Cambria" w:cs="Arial"/>
                <w:color w:val="000000"/>
                <w:sz w:val="22"/>
                <w:szCs w:val="22"/>
                <w:lang w:bidi="en-US"/>
              </w:rPr>
              <w:t>: The selected con</w:t>
            </w:r>
            <w:r>
              <w:rPr>
                <w:rFonts w:ascii="Cambria" w:hAnsi="Cambria" w:cs="Arial"/>
                <w:color w:val="000000"/>
                <w:sz w:val="22"/>
                <w:szCs w:val="22"/>
                <w:lang w:bidi="en-US"/>
              </w:rPr>
              <w:t xml:space="preserve">sultant </w:t>
            </w:r>
            <w:r w:rsidRPr="00763F82">
              <w:rPr>
                <w:rFonts w:ascii="Cambria" w:hAnsi="Cambria" w:cs="Arial"/>
                <w:color w:val="000000"/>
                <w:sz w:val="22"/>
                <w:szCs w:val="22"/>
                <w:lang w:bidi="en-US"/>
              </w:rPr>
              <w:t xml:space="preserve">shall </w:t>
            </w:r>
            <w:r w:rsidR="005F6C78">
              <w:rPr>
                <w:rFonts w:ascii="Cambria" w:hAnsi="Cambria" w:cs="Arial"/>
                <w:color w:val="000000"/>
                <w:sz w:val="22"/>
                <w:szCs w:val="22"/>
                <w:lang w:bidi="en-US"/>
              </w:rPr>
              <w:t xml:space="preserve">support </w:t>
            </w:r>
            <w:r w:rsidR="00F43E3B">
              <w:rPr>
                <w:rFonts w:ascii="Cambria" w:hAnsi="Cambria" w:cs="Arial"/>
                <w:color w:val="000000"/>
                <w:sz w:val="22"/>
                <w:szCs w:val="22"/>
                <w:lang w:bidi="en-US"/>
              </w:rPr>
              <w:t xml:space="preserve">and </w:t>
            </w:r>
            <w:r w:rsidRPr="00763F82">
              <w:rPr>
                <w:rFonts w:ascii="Cambria" w:hAnsi="Cambria" w:cs="Arial"/>
                <w:color w:val="000000"/>
                <w:sz w:val="22"/>
                <w:szCs w:val="22"/>
                <w:lang w:bidi="en-US"/>
              </w:rPr>
              <w:t xml:space="preserve">review </w:t>
            </w:r>
            <w:r>
              <w:rPr>
                <w:rFonts w:ascii="Cambria" w:hAnsi="Cambria" w:cs="Arial"/>
                <w:color w:val="000000"/>
                <w:sz w:val="22"/>
                <w:szCs w:val="22"/>
                <w:lang w:bidi="en-US"/>
              </w:rPr>
              <w:t>t</w:t>
            </w:r>
            <w:r w:rsidRPr="00763F82">
              <w:rPr>
                <w:rFonts w:ascii="Cambria" w:hAnsi="Cambria" w:cs="Arial"/>
                <w:color w:val="000000"/>
                <w:sz w:val="22"/>
                <w:szCs w:val="22"/>
                <w:lang w:bidi="en-US"/>
              </w:rPr>
              <w:t>he degree to which the simplified approval process is consistently achieving stated aims and objectives, and is generating significant positive or negative, intended or unintended, results, outcomes and impacts including higher-level effects</w:t>
            </w:r>
            <w:r>
              <w:rPr>
                <w:rFonts w:ascii="Cambria" w:hAnsi="Cambria" w:cs="Arial"/>
                <w:color w:val="000000"/>
                <w:sz w:val="22"/>
                <w:szCs w:val="22"/>
                <w:lang w:bidi="en-US"/>
              </w:rPr>
              <w:t xml:space="preserve">. </w:t>
            </w:r>
          </w:p>
          <w:p w14:paraId="5E608768" w14:textId="77777777" w:rsidR="00B4309F" w:rsidRPr="006507F3" w:rsidRDefault="00B4309F" w:rsidP="00FD0561">
            <w:pPr>
              <w:rPr>
                <w:rFonts w:ascii="Cambria" w:hAnsi="Cambria" w:cs="Arial"/>
                <w:sz w:val="22"/>
                <w:szCs w:val="22"/>
                <w:highlight w:val="yellow"/>
              </w:rPr>
            </w:pPr>
          </w:p>
        </w:tc>
      </w:tr>
      <w:tr w:rsidR="00B4309F" w:rsidRPr="006507F3" w14:paraId="0DA347C9" w14:textId="77777777" w:rsidTr="00B4309F">
        <w:tc>
          <w:tcPr>
            <w:tcW w:w="9995" w:type="dxa"/>
            <w:gridSpan w:val="10"/>
            <w:tcBorders>
              <w:top w:val="single" w:sz="4" w:space="0" w:color="auto"/>
              <w:left w:val="single" w:sz="4" w:space="0" w:color="auto"/>
              <w:bottom w:val="single" w:sz="4" w:space="0" w:color="auto"/>
              <w:right w:val="single" w:sz="4" w:space="0" w:color="auto"/>
            </w:tcBorders>
          </w:tcPr>
          <w:p w14:paraId="434B38BA" w14:textId="77777777" w:rsidR="00B4309F" w:rsidRPr="006507F3" w:rsidRDefault="00B4309F" w:rsidP="00FD0561">
            <w:pPr>
              <w:rPr>
                <w:rFonts w:ascii="Cambria" w:hAnsi="Cambria"/>
                <w:color w:val="000000" w:themeColor="text1"/>
                <w:highlight w:val="yellow"/>
              </w:rPr>
            </w:pPr>
          </w:p>
          <w:p w14:paraId="37CC13CF" w14:textId="77777777" w:rsidR="00B4309F" w:rsidRPr="00191B6E" w:rsidRDefault="00B4309F" w:rsidP="00FD0561">
            <w:pPr>
              <w:jc w:val="both"/>
              <w:rPr>
                <w:rFonts w:ascii="Cambria" w:eastAsia="Calibri" w:hAnsi="Cambria"/>
                <w:b/>
                <w:color w:val="000000" w:themeColor="text1"/>
                <w:sz w:val="22"/>
                <w:szCs w:val="22"/>
                <w:lang w:eastAsia="en-IE"/>
              </w:rPr>
            </w:pPr>
            <w:r w:rsidRPr="00191B6E">
              <w:rPr>
                <w:rFonts w:ascii="Cambria" w:eastAsia="Calibri" w:hAnsi="Cambria"/>
                <w:b/>
                <w:color w:val="000000" w:themeColor="text1"/>
                <w:sz w:val="22"/>
                <w:szCs w:val="22"/>
                <w:lang w:eastAsia="en-IE"/>
              </w:rPr>
              <w:t>Duties and Responsibilities</w:t>
            </w:r>
          </w:p>
          <w:p w14:paraId="2B20B6AE" w14:textId="77777777" w:rsidR="00B4309F" w:rsidRPr="00191B6E" w:rsidRDefault="00B4309F" w:rsidP="00FD0561">
            <w:pPr>
              <w:jc w:val="both"/>
              <w:rPr>
                <w:rFonts w:ascii="Cambria" w:eastAsia="Calibri" w:hAnsi="Cambria"/>
                <w:color w:val="000000" w:themeColor="text1"/>
                <w:sz w:val="22"/>
                <w:szCs w:val="22"/>
                <w:lang w:eastAsia="en-IE"/>
              </w:rPr>
            </w:pPr>
          </w:p>
          <w:p w14:paraId="210CF9D2" w14:textId="77777777" w:rsidR="00B4309F" w:rsidRPr="00191B6E" w:rsidRDefault="00B4309F" w:rsidP="00FD0561">
            <w:p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Under the guidance of the evaluation lead and Head of the IEU, the selected consultant will conduct a range of tasks including but not limited to: </w:t>
            </w:r>
          </w:p>
          <w:p w14:paraId="09D8A125" w14:textId="77777777" w:rsidR="00B4309F" w:rsidRPr="00191B6E" w:rsidRDefault="00B4309F" w:rsidP="00FD0561">
            <w:pPr>
              <w:ind w:left="720"/>
              <w:jc w:val="both"/>
              <w:rPr>
                <w:rFonts w:ascii="Cambria" w:eastAsia="Calibri" w:hAnsi="Cambria"/>
                <w:color w:val="000000" w:themeColor="text1"/>
                <w:sz w:val="22"/>
                <w:szCs w:val="22"/>
                <w:lang w:eastAsia="en-IE"/>
              </w:rPr>
            </w:pPr>
          </w:p>
          <w:p w14:paraId="56AAB03A"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Reviewing GCF documentation including but not limited to the sources listed above </w:t>
            </w:r>
          </w:p>
          <w:p w14:paraId="6D378C37" w14:textId="77777777" w:rsidR="00B4309F" w:rsidRPr="00191B6E" w:rsidRDefault="00B4309F" w:rsidP="00FD0561">
            <w:pPr>
              <w:ind w:left="720"/>
              <w:jc w:val="both"/>
              <w:rPr>
                <w:rFonts w:ascii="Cambria" w:eastAsia="Calibri" w:hAnsi="Cambria"/>
                <w:color w:val="000000" w:themeColor="text1"/>
                <w:sz w:val="22"/>
                <w:szCs w:val="22"/>
                <w:lang w:eastAsia="en-IE"/>
              </w:rPr>
            </w:pPr>
          </w:p>
          <w:p w14:paraId="070B1072"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Supporting the IEU in conducting interviews with GCF staff, personnel, external members on panels or groups established by the Board, accredited entities as well as wider persons or entities who contribute to, engages in, or is affected by or concerned with any Fund-related activity related to the simplified approval process</w:t>
            </w:r>
          </w:p>
          <w:p w14:paraId="4E829FA2" w14:textId="77777777" w:rsidR="00B4309F" w:rsidRPr="00191B6E" w:rsidRDefault="00B4309F" w:rsidP="00FD0561">
            <w:pPr>
              <w:ind w:left="720"/>
              <w:jc w:val="both"/>
              <w:rPr>
                <w:rFonts w:ascii="Cambria" w:eastAsia="Calibri" w:hAnsi="Cambria"/>
                <w:color w:val="000000" w:themeColor="text1"/>
                <w:sz w:val="22"/>
                <w:szCs w:val="22"/>
                <w:lang w:eastAsia="en-IE"/>
              </w:rPr>
            </w:pPr>
          </w:p>
          <w:p w14:paraId="0432E8DD"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Providing the timely assessment and review on specific issues assigned and based on specific terms of reference and assessment guidelines provided by the IEU, including assessing the coherence of the simplified approval process with related internal strategies, policies and frameworks</w:t>
            </w:r>
          </w:p>
          <w:p w14:paraId="301C260D" w14:textId="77777777" w:rsidR="00B4309F" w:rsidRPr="00191B6E" w:rsidRDefault="00B4309F" w:rsidP="00FD0561">
            <w:pPr>
              <w:ind w:left="720"/>
              <w:jc w:val="both"/>
              <w:rPr>
                <w:rFonts w:ascii="Cambria" w:eastAsia="Calibri" w:hAnsi="Cambria"/>
                <w:color w:val="000000" w:themeColor="text1"/>
                <w:sz w:val="22"/>
                <w:szCs w:val="22"/>
                <w:lang w:eastAsia="en-IE"/>
              </w:rPr>
            </w:pPr>
          </w:p>
          <w:p w14:paraId="42EC8A4D"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Applying international best practices in the specified subject area</w:t>
            </w:r>
          </w:p>
          <w:p w14:paraId="0782940D" w14:textId="77777777" w:rsidR="00B4309F" w:rsidRPr="00191B6E" w:rsidRDefault="00B4309F" w:rsidP="00FD0561">
            <w:pPr>
              <w:ind w:left="720"/>
              <w:jc w:val="both"/>
              <w:rPr>
                <w:rFonts w:ascii="Cambria" w:eastAsia="Calibri" w:hAnsi="Cambria"/>
                <w:color w:val="000000" w:themeColor="text1"/>
                <w:sz w:val="22"/>
                <w:szCs w:val="22"/>
                <w:lang w:eastAsia="en-IE"/>
              </w:rPr>
            </w:pPr>
          </w:p>
          <w:p w14:paraId="377675AA"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Delivering a benchmarking exercise with at least 4 comparators in terms of relevant simplified approval procedures for projects developed and implemented by peer institutions and partners</w:t>
            </w:r>
          </w:p>
          <w:p w14:paraId="568CC469" w14:textId="77777777" w:rsidR="00B4309F" w:rsidRPr="00191B6E" w:rsidRDefault="00B4309F" w:rsidP="00FD0561">
            <w:pPr>
              <w:ind w:left="360"/>
              <w:jc w:val="both"/>
              <w:rPr>
                <w:rFonts w:ascii="Cambria" w:eastAsia="Calibri" w:hAnsi="Cambria"/>
                <w:color w:val="000000" w:themeColor="text1"/>
                <w:sz w:val="22"/>
                <w:szCs w:val="22"/>
                <w:lang w:eastAsia="en-IE"/>
              </w:rPr>
            </w:pPr>
          </w:p>
          <w:p w14:paraId="7157DF30" w14:textId="70CAFE3E"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Working closely with the IEU </w:t>
            </w:r>
            <w:r w:rsidR="00F43E3B">
              <w:rPr>
                <w:rFonts w:ascii="Cambria" w:eastAsia="Calibri" w:hAnsi="Cambria"/>
                <w:color w:val="000000" w:themeColor="text1"/>
                <w:sz w:val="22"/>
                <w:szCs w:val="22"/>
                <w:lang w:eastAsia="en-IE"/>
              </w:rPr>
              <w:t xml:space="preserve">and supporting </w:t>
            </w:r>
            <w:r w:rsidRPr="00191B6E">
              <w:rPr>
                <w:rFonts w:ascii="Cambria" w:eastAsia="Calibri" w:hAnsi="Cambria"/>
                <w:color w:val="000000" w:themeColor="text1"/>
                <w:sz w:val="22"/>
                <w:szCs w:val="22"/>
                <w:lang w:eastAsia="en-IE"/>
              </w:rPr>
              <w:t xml:space="preserve">data collection and analysis, to ensure quality of data and analyses. The consultant may be expected to attend and help facilitate interviews, perform consultations with key informants and groups of stakeholders, and </w:t>
            </w:r>
            <w:proofErr w:type="spellStart"/>
            <w:r w:rsidRPr="00191B6E">
              <w:rPr>
                <w:rFonts w:ascii="Cambria" w:eastAsia="Calibri" w:hAnsi="Cambria"/>
                <w:color w:val="000000" w:themeColor="text1"/>
                <w:sz w:val="22"/>
                <w:szCs w:val="22"/>
                <w:lang w:eastAsia="en-IE"/>
              </w:rPr>
              <w:t>analyse</w:t>
            </w:r>
            <w:proofErr w:type="spellEnd"/>
            <w:r w:rsidRPr="00191B6E">
              <w:rPr>
                <w:rFonts w:ascii="Cambria" w:eastAsia="Calibri" w:hAnsi="Cambria"/>
                <w:color w:val="000000" w:themeColor="text1"/>
                <w:sz w:val="22"/>
                <w:szCs w:val="22"/>
                <w:lang w:eastAsia="en-IE"/>
              </w:rPr>
              <w:t xml:space="preserve"> secondary datasets as well as data generated. The consultant is also expected to keep notes from all meetings and participate in weekly meetings with the IEU </w:t>
            </w:r>
            <w:r w:rsidR="00F43E3B">
              <w:rPr>
                <w:rFonts w:ascii="Cambria" w:eastAsia="Calibri" w:hAnsi="Cambria"/>
                <w:color w:val="000000" w:themeColor="text1"/>
                <w:sz w:val="22"/>
                <w:szCs w:val="22"/>
                <w:lang w:eastAsia="en-IE"/>
              </w:rPr>
              <w:t xml:space="preserve">evaluation </w:t>
            </w:r>
            <w:r w:rsidRPr="00191B6E">
              <w:rPr>
                <w:rFonts w:ascii="Cambria" w:eastAsia="Calibri" w:hAnsi="Cambria"/>
                <w:color w:val="000000" w:themeColor="text1"/>
                <w:sz w:val="22"/>
                <w:szCs w:val="22"/>
                <w:lang w:eastAsia="en-IE"/>
              </w:rPr>
              <w:t>team</w:t>
            </w:r>
            <w:r w:rsidR="00F43E3B">
              <w:rPr>
                <w:rFonts w:ascii="Cambria" w:eastAsia="Calibri" w:hAnsi="Cambria"/>
                <w:color w:val="000000" w:themeColor="text1"/>
                <w:sz w:val="22"/>
                <w:szCs w:val="22"/>
                <w:lang w:eastAsia="en-IE"/>
              </w:rPr>
              <w:t xml:space="preserve"> based in Songdo</w:t>
            </w:r>
            <w:r w:rsidRPr="00191B6E">
              <w:rPr>
                <w:rFonts w:ascii="Cambria" w:eastAsia="Calibri" w:hAnsi="Cambria"/>
                <w:color w:val="000000" w:themeColor="text1"/>
                <w:sz w:val="22"/>
                <w:szCs w:val="22"/>
                <w:lang w:eastAsia="en-IE"/>
              </w:rPr>
              <w:t xml:space="preserve">. </w:t>
            </w:r>
          </w:p>
          <w:p w14:paraId="531A159E"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2ABC3EDE"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Ensure the systematic and traceable use of all relevant sources in a way that maximizes the triangulation of evidence and consequently the credibility of the evidence and recommendations. </w:t>
            </w:r>
          </w:p>
          <w:p w14:paraId="12C496C7" w14:textId="77777777" w:rsidR="00B4309F" w:rsidRPr="00191B6E" w:rsidRDefault="00B4309F" w:rsidP="00FD0561">
            <w:pPr>
              <w:rPr>
                <w:rFonts w:ascii="Cambria" w:eastAsia="Calibri" w:hAnsi="Cambria"/>
                <w:color w:val="000000" w:themeColor="text1"/>
                <w:sz w:val="22"/>
                <w:szCs w:val="22"/>
                <w:lang w:eastAsia="en-IE"/>
              </w:rPr>
            </w:pPr>
          </w:p>
          <w:p w14:paraId="1AD918C0" w14:textId="106EAAAC"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Integrating comments received by stakeholders into the factual draft alongside the IEU</w:t>
            </w:r>
            <w:r w:rsidR="00F43E3B">
              <w:rPr>
                <w:rFonts w:ascii="Cambria" w:eastAsia="Calibri" w:hAnsi="Cambria"/>
                <w:color w:val="000000" w:themeColor="text1"/>
                <w:sz w:val="22"/>
                <w:szCs w:val="22"/>
                <w:lang w:eastAsia="en-IE"/>
              </w:rPr>
              <w:t xml:space="preserve"> evaluation</w:t>
            </w:r>
            <w:r w:rsidRPr="00191B6E">
              <w:rPr>
                <w:rFonts w:ascii="Cambria" w:eastAsia="Calibri" w:hAnsi="Cambria"/>
                <w:color w:val="000000" w:themeColor="text1"/>
                <w:sz w:val="22"/>
                <w:szCs w:val="22"/>
                <w:lang w:eastAsia="en-IE"/>
              </w:rPr>
              <w:t xml:space="preserve"> team</w:t>
            </w:r>
            <w:r w:rsidR="00F43E3B">
              <w:rPr>
                <w:rFonts w:ascii="Cambria" w:eastAsia="Calibri" w:hAnsi="Cambria"/>
                <w:color w:val="000000" w:themeColor="text1"/>
                <w:sz w:val="22"/>
                <w:szCs w:val="22"/>
                <w:lang w:eastAsia="en-IE"/>
              </w:rPr>
              <w:t>.</w:t>
            </w:r>
          </w:p>
          <w:p w14:paraId="15974A08"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67FFC4EF"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Working closely with the IEU to delineate the key findings and recommendations.</w:t>
            </w:r>
          </w:p>
          <w:p w14:paraId="5A32EF39" w14:textId="77777777" w:rsidR="00B4309F" w:rsidRPr="00191B6E" w:rsidRDefault="00B4309F" w:rsidP="00FD0561">
            <w:pPr>
              <w:jc w:val="both"/>
              <w:rPr>
                <w:rFonts w:ascii="Cambria" w:eastAsia="Calibri" w:hAnsi="Cambria"/>
                <w:color w:val="000000" w:themeColor="text1"/>
                <w:sz w:val="22"/>
                <w:szCs w:val="22"/>
                <w:lang w:eastAsia="en-IE"/>
              </w:rPr>
            </w:pPr>
          </w:p>
          <w:p w14:paraId="6F1034D9" w14:textId="44742404" w:rsidR="00B4309F" w:rsidRPr="00191B6E" w:rsidRDefault="005643DB" w:rsidP="005643DB">
            <w:pPr>
              <w:pStyle w:val="ListParagraph"/>
              <w:numPr>
                <w:ilvl w:val="0"/>
                <w:numId w:val="1"/>
              </w:numPr>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Availability to travel to Songdo, South Korea, for data collection (5 days) and to finalize the factual draft of the evaluation report (two days) within the timeline below.</w:t>
            </w:r>
          </w:p>
          <w:p w14:paraId="5BC84C30"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2E1FA1E2"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Performing additional tasks as may be assigned or delegated by the evaluation lead or the Head of the IEU related to the assignment</w:t>
            </w:r>
          </w:p>
          <w:p w14:paraId="0E9229C8" w14:textId="77777777" w:rsidR="00B4309F" w:rsidRPr="00191B6E" w:rsidRDefault="00B4309F" w:rsidP="00FD0561">
            <w:p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w:t>
            </w:r>
          </w:p>
          <w:p w14:paraId="1859867F" w14:textId="77777777" w:rsidR="00B4309F" w:rsidRPr="00191B6E" w:rsidRDefault="00B4309F" w:rsidP="00FD0561">
            <w:pPr>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Uphold strict confidentiality regarding all information shared by employees and maintain the highest standards of privacy and professionalism. </w:t>
            </w:r>
          </w:p>
          <w:p w14:paraId="2474A429" w14:textId="77777777" w:rsidR="005643DB" w:rsidRDefault="005643DB" w:rsidP="005643DB">
            <w:pPr>
              <w:pStyle w:val="ListParagraph"/>
              <w:rPr>
                <w:rFonts w:ascii="Cambria" w:eastAsia="Calibri" w:hAnsi="Cambria"/>
                <w:color w:val="000000" w:themeColor="text1"/>
                <w:lang w:eastAsia="en-IE"/>
              </w:rPr>
            </w:pPr>
          </w:p>
          <w:p w14:paraId="3D896963" w14:textId="77777777" w:rsidR="00B4309F" w:rsidRPr="00450E58" w:rsidRDefault="00B4309F" w:rsidP="00191B6E">
            <w:pPr>
              <w:jc w:val="both"/>
              <w:rPr>
                <w:rFonts w:ascii="Cambria" w:eastAsia="Calibri" w:hAnsi="Cambria"/>
                <w:color w:val="000000" w:themeColor="text1"/>
                <w:lang w:eastAsia="en-IE"/>
              </w:rPr>
            </w:pPr>
          </w:p>
          <w:p w14:paraId="5B9CDE18" w14:textId="32F9916E" w:rsidR="00B4309F" w:rsidRPr="00191B6E" w:rsidRDefault="00B4309F" w:rsidP="00FD0561">
            <w:pPr>
              <w:pStyle w:val="Default"/>
              <w:rPr>
                <w:b/>
                <w:bCs/>
                <w:color w:val="auto"/>
                <w:sz w:val="22"/>
                <w:szCs w:val="22"/>
              </w:rPr>
            </w:pPr>
            <w:r w:rsidRPr="00191B6E">
              <w:rPr>
                <w:b/>
                <w:bCs/>
                <w:color w:val="auto"/>
                <w:sz w:val="22"/>
                <w:szCs w:val="22"/>
              </w:rPr>
              <w:t>Deliverables:</w:t>
            </w:r>
          </w:p>
          <w:p w14:paraId="2C012479" w14:textId="77777777" w:rsidR="00B4309F" w:rsidRPr="00191B6E" w:rsidRDefault="00B4309F" w:rsidP="00FD0561">
            <w:pPr>
              <w:pStyle w:val="Default"/>
              <w:rPr>
                <w:color w:val="auto"/>
                <w:sz w:val="22"/>
                <w:szCs w:val="22"/>
              </w:rPr>
            </w:pPr>
          </w:p>
          <w:p w14:paraId="42E1030F" w14:textId="706E4E68" w:rsidR="00B4309F" w:rsidRPr="00191B6E" w:rsidRDefault="00985F87" w:rsidP="00FD0561">
            <w:pPr>
              <w:pStyle w:val="Default"/>
              <w:rPr>
                <w:color w:val="auto"/>
                <w:sz w:val="22"/>
                <w:szCs w:val="22"/>
              </w:rPr>
            </w:pPr>
            <w:r>
              <w:rPr>
                <w:color w:val="auto"/>
                <w:sz w:val="22"/>
                <w:szCs w:val="22"/>
              </w:rPr>
              <w:t xml:space="preserve">All data, analysis and reports will be IEU products. The IEU retain the ownership and intellectual property of all data and products. Alongside the IEU </w:t>
            </w:r>
            <w:r w:rsidR="00F43E3B">
              <w:rPr>
                <w:color w:val="auto"/>
                <w:sz w:val="22"/>
                <w:szCs w:val="22"/>
              </w:rPr>
              <w:t xml:space="preserve">evaluation </w:t>
            </w:r>
            <w:r>
              <w:rPr>
                <w:color w:val="auto"/>
                <w:sz w:val="22"/>
                <w:szCs w:val="22"/>
              </w:rPr>
              <w:t>team, t</w:t>
            </w:r>
            <w:r w:rsidR="00B4309F" w:rsidRPr="00191B6E">
              <w:rPr>
                <w:color w:val="auto"/>
                <w:sz w:val="22"/>
                <w:szCs w:val="22"/>
              </w:rPr>
              <w:t xml:space="preserve">he Consultant is required to </w:t>
            </w:r>
            <w:r w:rsidR="00191B6E">
              <w:rPr>
                <w:color w:val="auto"/>
                <w:sz w:val="22"/>
                <w:szCs w:val="22"/>
              </w:rPr>
              <w:t>complete</w:t>
            </w:r>
            <w:r w:rsidR="00B4309F" w:rsidRPr="00191B6E">
              <w:rPr>
                <w:color w:val="auto"/>
                <w:sz w:val="22"/>
                <w:szCs w:val="22"/>
              </w:rPr>
              <w:t xml:space="preserve"> the following Deliverables:</w:t>
            </w:r>
          </w:p>
          <w:p w14:paraId="4D3F2CC4" w14:textId="77777777" w:rsidR="00B4309F" w:rsidRPr="00191B6E" w:rsidRDefault="00B4309F" w:rsidP="00FD0561">
            <w:pPr>
              <w:pStyle w:val="Default"/>
              <w:rPr>
                <w:color w:val="auto"/>
                <w:sz w:val="22"/>
                <w:szCs w:val="22"/>
              </w:rPr>
            </w:pPr>
          </w:p>
          <w:p w14:paraId="0BA53EA3" w14:textId="24394997" w:rsidR="00B4309F" w:rsidRPr="00191B6E" w:rsidRDefault="00B4309F" w:rsidP="00FD0561">
            <w:pPr>
              <w:numPr>
                <w:ilvl w:val="0"/>
                <w:numId w:val="2"/>
              </w:numPr>
              <w:spacing w:after="120"/>
              <w:ind w:left="714" w:hanging="357"/>
              <w:jc w:val="both"/>
              <w:rPr>
                <w:rFonts w:ascii="Cambria" w:eastAsia="Calibri" w:hAnsi="Cambria"/>
                <w:color w:val="000000" w:themeColor="text1"/>
                <w:sz w:val="22"/>
                <w:szCs w:val="22"/>
                <w:lang w:eastAsia="en-IE"/>
              </w:rPr>
            </w:pPr>
            <w:r w:rsidRPr="007C158F">
              <w:rPr>
                <w:rFonts w:ascii="Cambria" w:eastAsia="Calibri" w:hAnsi="Cambria"/>
                <w:b/>
                <w:bCs/>
                <w:color w:val="000000" w:themeColor="text1"/>
                <w:sz w:val="22"/>
                <w:szCs w:val="22"/>
                <w:lang w:eastAsia="en-IE"/>
              </w:rPr>
              <w:t>Deliver a detailed Approach Paper</w:t>
            </w:r>
            <w:r w:rsidRPr="00191B6E">
              <w:rPr>
                <w:rFonts w:ascii="Cambria" w:eastAsia="Calibri" w:hAnsi="Cambria"/>
                <w:color w:val="000000" w:themeColor="text1"/>
                <w:sz w:val="22"/>
                <w:szCs w:val="22"/>
                <w:lang w:eastAsia="en-IE"/>
              </w:rPr>
              <w:t xml:space="preserve"> (in line with the formatting guidelines provided by the IEU), that outlines among other things the main report and the annexes, and explains the methodology, the tools, instruments, the evaluation criteria and matrix, protocols, and the expected process that the evaluation shall have to follow within a detailed and time-intensive delivery timeline. It shall also contain a comprehensive list of all GCF Board documents and decisions to be included in the evaluation. </w:t>
            </w:r>
            <w:r w:rsidR="00191B6E">
              <w:rPr>
                <w:rFonts w:ascii="Cambria" w:eastAsia="Calibri" w:hAnsi="Cambria"/>
                <w:color w:val="000000" w:themeColor="text1"/>
                <w:sz w:val="22"/>
                <w:szCs w:val="22"/>
                <w:lang w:eastAsia="en-IE"/>
              </w:rPr>
              <w:t xml:space="preserve">The consultant may take part </w:t>
            </w:r>
            <w:r w:rsidR="007627CB">
              <w:rPr>
                <w:rFonts w:ascii="Cambria" w:eastAsia="Calibri" w:hAnsi="Cambria"/>
                <w:color w:val="000000" w:themeColor="text1"/>
                <w:sz w:val="22"/>
                <w:szCs w:val="22"/>
                <w:lang w:eastAsia="en-IE"/>
              </w:rPr>
              <w:t xml:space="preserve">online </w:t>
            </w:r>
            <w:r w:rsidR="00191B6E" w:rsidRPr="00191B6E">
              <w:rPr>
                <w:rFonts w:ascii="Cambria" w:eastAsia="Calibri" w:hAnsi="Cambria"/>
                <w:color w:val="000000" w:themeColor="text1"/>
                <w:sz w:val="22"/>
                <w:szCs w:val="22"/>
                <w:lang w:eastAsia="en-IE"/>
              </w:rPr>
              <w:t>engagement with stakeholders through webinars</w:t>
            </w:r>
            <w:r w:rsidR="007627CB">
              <w:rPr>
                <w:rFonts w:ascii="Cambria" w:eastAsia="Calibri" w:hAnsi="Cambria"/>
                <w:color w:val="000000" w:themeColor="text1"/>
                <w:sz w:val="22"/>
                <w:szCs w:val="22"/>
                <w:lang w:eastAsia="en-IE"/>
              </w:rPr>
              <w:t>.</w:t>
            </w:r>
            <w:r w:rsidR="00985F87">
              <w:rPr>
                <w:rFonts w:ascii="Cambria" w:eastAsia="Calibri" w:hAnsi="Cambria"/>
                <w:color w:val="000000" w:themeColor="text1"/>
                <w:sz w:val="22"/>
                <w:szCs w:val="22"/>
                <w:lang w:eastAsia="en-IE"/>
              </w:rPr>
              <w:t xml:space="preserve"> This deliverable will not constitute more than 4-6 days of the contract total. </w:t>
            </w:r>
          </w:p>
          <w:p w14:paraId="5D60A81D" w14:textId="122848C4" w:rsidR="00B4309F" w:rsidRPr="00191B6E" w:rsidRDefault="00B4309F" w:rsidP="00FD0561">
            <w:pPr>
              <w:numPr>
                <w:ilvl w:val="0"/>
                <w:numId w:val="2"/>
              </w:numPr>
              <w:spacing w:after="120"/>
              <w:ind w:left="714" w:hanging="357"/>
              <w:jc w:val="both"/>
              <w:rPr>
                <w:rFonts w:ascii="Cambria" w:eastAsia="Calibri" w:hAnsi="Cambria"/>
                <w:color w:val="000000" w:themeColor="text1"/>
                <w:sz w:val="22"/>
                <w:szCs w:val="22"/>
                <w:lang w:eastAsia="en-IE"/>
              </w:rPr>
            </w:pPr>
            <w:r w:rsidRPr="007C158F">
              <w:rPr>
                <w:rFonts w:ascii="Cambria" w:eastAsia="Calibri" w:hAnsi="Cambria"/>
                <w:b/>
                <w:bCs/>
                <w:color w:val="000000" w:themeColor="text1"/>
                <w:sz w:val="22"/>
                <w:szCs w:val="22"/>
                <w:lang w:eastAsia="en-IE"/>
              </w:rPr>
              <w:t>Deliver a first complete factual draft of the report</w:t>
            </w:r>
            <w:r w:rsidRPr="00191B6E">
              <w:rPr>
                <w:rFonts w:ascii="Cambria" w:eastAsia="Calibri" w:hAnsi="Cambria"/>
                <w:color w:val="000000" w:themeColor="text1"/>
                <w:sz w:val="22"/>
                <w:szCs w:val="22"/>
                <w:lang w:eastAsia="en-IE"/>
              </w:rPr>
              <w:t xml:space="preserve">. The aim is to submit the factual draft to key stakeholders, perhaps including engagement with stakeholders through webinars and presentations on emerging findings. </w:t>
            </w:r>
            <w:r w:rsidR="00985F87">
              <w:rPr>
                <w:rFonts w:ascii="Cambria" w:eastAsia="Calibri" w:hAnsi="Cambria"/>
                <w:color w:val="000000" w:themeColor="text1"/>
                <w:sz w:val="22"/>
                <w:szCs w:val="22"/>
                <w:lang w:eastAsia="en-IE"/>
              </w:rPr>
              <w:t>This deliverable will not constitute more than 30-40 days of the contract total.</w:t>
            </w:r>
          </w:p>
          <w:p w14:paraId="67A7A976" w14:textId="2EDDF5FC" w:rsidR="00985F87" w:rsidRDefault="00B4309F" w:rsidP="00FD0561">
            <w:pPr>
              <w:pStyle w:val="ListParagraph"/>
              <w:numPr>
                <w:ilvl w:val="0"/>
                <w:numId w:val="2"/>
              </w:numPr>
              <w:spacing w:after="120"/>
              <w:ind w:left="714" w:hanging="357"/>
              <w:rPr>
                <w:rFonts w:ascii="Cambria" w:eastAsia="Calibri" w:hAnsi="Cambria"/>
                <w:color w:val="000000" w:themeColor="text1"/>
                <w:sz w:val="22"/>
                <w:szCs w:val="22"/>
                <w:lang w:eastAsia="en-IE"/>
              </w:rPr>
            </w:pPr>
            <w:r w:rsidRPr="007C158F">
              <w:rPr>
                <w:rFonts w:ascii="Cambria" w:eastAsia="Calibri" w:hAnsi="Cambria"/>
                <w:b/>
                <w:bCs/>
                <w:color w:val="000000" w:themeColor="text1"/>
                <w:sz w:val="22"/>
                <w:szCs w:val="22"/>
                <w:lang w:eastAsia="en-IE"/>
              </w:rPr>
              <w:t>Deliver a final report with key findings and actionable recommendations</w:t>
            </w:r>
            <w:r w:rsidRPr="00191B6E">
              <w:rPr>
                <w:rFonts w:ascii="Cambria" w:eastAsia="Calibri" w:hAnsi="Cambria"/>
                <w:color w:val="000000" w:themeColor="text1"/>
                <w:sz w:val="22"/>
                <w:szCs w:val="22"/>
                <w:lang w:eastAsia="en-IE"/>
              </w:rPr>
              <w:t>, including those that reflect key strategic and policy lessons</w:t>
            </w:r>
            <w:r w:rsidR="00C22D2A">
              <w:rPr>
                <w:rFonts w:ascii="Cambria" w:eastAsia="Calibri" w:hAnsi="Cambria"/>
                <w:color w:val="000000" w:themeColor="text1"/>
                <w:sz w:val="22"/>
                <w:szCs w:val="22"/>
                <w:lang w:eastAsia="en-IE"/>
              </w:rPr>
              <w:t>, including final communication products</w:t>
            </w:r>
            <w:r w:rsidRPr="00191B6E">
              <w:rPr>
                <w:rFonts w:ascii="Cambria" w:eastAsia="Calibri" w:hAnsi="Cambria"/>
                <w:color w:val="000000" w:themeColor="text1"/>
                <w:sz w:val="22"/>
                <w:szCs w:val="22"/>
                <w:lang w:eastAsia="en-IE"/>
              </w:rPr>
              <w:t xml:space="preserve">. </w:t>
            </w:r>
            <w:r w:rsidR="00985F87">
              <w:rPr>
                <w:rFonts w:ascii="Cambria" w:eastAsia="Calibri" w:hAnsi="Cambria"/>
                <w:color w:val="000000" w:themeColor="text1"/>
                <w:sz w:val="22"/>
                <w:szCs w:val="22"/>
                <w:lang w:eastAsia="en-IE"/>
              </w:rPr>
              <w:t>This deliverable will not constitute more than 20-22 days of the contract total.</w:t>
            </w:r>
          </w:p>
          <w:p w14:paraId="0D52203F" w14:textId="6705A9B9" w:rsidR="00985F87" w:rsidRPr="00985F87" w:rsidRDefault="00985F87" w:rsidP="00985F87">
            <w:pPr>
              <w:spacing w:after="120"/>
              <w:rPr>
                <w:rFonts w:ascii="Cambria" w:eastAsia="Calibri" w:hAnsi="Cambria"/>
                <w:color w:val="000000" w:themeColor="text1"/>
                <w:sz w:val="22"/>
                <w:szCs w:val="22"/>
                <w:lang w:eastAsia="en-IE"/>
              </w:rPr>
            </w:pPr>
            <w:r>
              <w:rPr>
                <w:rFonts w:ascii="Cambria" w:eastAsia="Calibri" w:hAnsi="Cambria"/>
                <w:color w:val="000000" w:themeColor="text1"/>
                <w:sz w:val="22"/>
                <w:szCs w:val="22"/>
                <w:lang w:eastAsia="en-IE"/>
              </w:rPr>
              <w:t>All data, notes and products will be handed over to the IEU alongside the delivery of communication products at the end of the assignment</w:t>
            </w:r>
            <w:r w:rsidRPr="00985F87">
              <w:rPr>
                <w:rFonts w:ascii="Cambria" w:eastAsia="Calibri" w:hAnsi="Cambria"/>
                <w:color w:val="000000" w:themeColor="text1"/>
                <w:sz w:val="22"/>
                <w:szCs w:val="22"/>
                <w:lang w:eastAsia="en-IE"/>
              </w:rPr>
              <w:t>.</w:t>
            </w:r>
            <w:r w:rsidR="00B4309F" w:rsidRPr="00985F87">
              <w:rPr>
                <w:rFonts w:ascii="Cambria" w:eastAsia="Calibri" w:hAnsi="Cambria"/>
                <w:color w:val="000000" w:themeColor="text1"/>
                <w:sz w:val="22"/>
                <w:szCs w:val="22"/>
                <w:lang w:eastAsia="en-IE"/>
              </w:rPr>
              <w:t xml:space="preserve"> </w:t>
            </w:r>
          </w:p>
          <w:p w14:paraId="19D7B8EA" w14:textId="77777777" w:rsidR="00B4309F" w:rsidRPr="00191B6E" w:rsidRDefault="00B4309F" w:rsidP="00FD0561">
            <w:pPr>
              <w:jc w:val="both"/>
              <w:rPr>
                <w:rFonts w:ascii="Cambria" w:eastAsia="Calibri" w:hAnsi="Cambria"/>
                <w:b/>
                <w:color w:val="000000" w:themeColor="text1"/>
                <w:sz w:val="22"/>
                <w:szCs w:val="22"/>
                <w:lang w:eastAsia="en-IE"/>
              </w:rPr>
            </w:pPr>
            <w:r w:rsidRPr="00191B6E">
              <w:rPr>
                <w:rFonts w:ascii="Cambria" w:eastAsia="Calibri" w:hAnsi="Cambria"/>
                <w:b/>
                <w:color w:val="000000" w:themeColor="text1"/>
                <w:sz w:val="22"/>
                <w:szCs w:val="22"/>
                <w:lang w:eastAsia="en-IE"/>
              </w:rPr>
              <w:t>Required Experience and Qualifications</w:t>
            </w:r>
          </w:p>
          <w:p w14:paraId="03DD9837" w14:textId="77777777" w:rsidR="00B4309F" w:rsidRPr="00191B6E" w:rsidRDefault="00B4309F" w:rsidP="00FD0561">
            <w:pPr>
              <w:jc w:val="both"/>
              <w:rPr>
                <w:rFonts w:ascii="Cambria" w:eastAsia="Calibri" w:hAnsi="Cambria"/>
                <w:color w:val="000000" w:themeColor="text1"/>
                <w:sz w:val="22"/>
                <w:szCs w:val="22"/>
                <w:lang w:eastAsia="en-IE"/>
              </w:rPr>
            </w:pPr>
          </w:p>
          <w:p w14:paraId="67253A17" w14:textId="284FBFD4"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The consultant shall have at least 15 years of experience of completing policy evaluations in relation to multilateral lending, including UN agencies, with demonstrable experience of providing strategic advice, implementing, conducting evaluations or reviews on </w:t>
            </w:r>
            <w:proofErr w:type="spellStart"/>
            <w:r w:rsidRPr="00191B6E">
              <w:rPr>
                <w:rFonts w:ascii="Cambria" w:eastAsia="Calibri" w:hAnsi="Cambria"/>
                <w:color w:val="000000" w:themeColor="text1"/>
                <w:sz w:val="22"/>
                <w:szCs w:val="22"/>
                <w:lang w:eastAsia="en-IE"/>
              </w:rPr>
              <w:t>programmes</w:t>
            </w:r>
            <w:proofErr w:type="spellEnd"/>
            <w:r w:rsidRPr="00191B6E">
              <w:rPr>
                <w:rFonts w:ascii="Cambria" w:eastAsia="Calibri" w:hAnsi="Cambria"/>
                <w:color w:val="000000" w:themeColor="text1"/>
                <w:sz w:val="22"/>
                <w:szCs w:val="22"/>
                <w:lang w:eastAsia="en-IE"/>
              </w:rPr>
              <w:t xml:space="preserve"> and projects, </w:t>
            </w:r>
            <w:r w:rsidR="007627CB">
              <w:rPr>
                <w:rFonts w:ascii="Cambria" w:eastAsia="Calibri" w:hAnsi="Cambria"/>
                <w:color w:val="000000" w:themeColor="text1"/>
                <w:sz w:val="22"/>
                <w:szCs w:val="22"/>
                <w:lang w:eastAsia="en-IE"/>
              </w:rPr>
              <w:t xml:space="preserve">preferably </w:t>
            </w:r>
            <w:r w:rsidRPr="00191B6E">
              <w:rPr>
                <w:rFonts w:ascii="Cambria" w:eastAsia="Calibri" w:hAnsi="Cambria"/>
                <w:color w:val="000000" w:themeColor="text1"/>
                <w:sz w:val="22"/>
                <w:szCs w:val="22"/>
                <w:lang w:eastAsia="en-IE"/>
              </w:rPr>
              <w:t xml:space="preserve">within the climate change and climate finance areas.  </w:t>
            </w:r>
          </w:p>
          <w:p w14:paraId="1A326278"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19F84E78"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Essential qualifications include advanced degree in economics, public policy, international development, or related fields.</w:t>
            </w:r>
          </w:p>
          <w:p w14:paraId="65E6FFE6"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69F3FE22"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Excellent knowledge of other multilateral climate institutions so benchmarking can be done rapidly.</w:t>
            </w:r>
          </w:p>
          <w:p w14:paraId="5069478D"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71EAC6F5" w14:textId="4A8D1210"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Outstanding writing skills including a strong track record of </w:t>
            </w:r>
            <w:r w:rsidR="007627CB">
              <w:rPr>
                <w:rFonts w:ascii="Cambria" w:eastAsia="Calibri" w:hAnsi="Cambria"/>
                <w:color w:val="000000" w:themeColor="text1"/>
                <w:sz w:val="22"/>
                <w:szCs w:val="22"/>
                <w:lang w:eastAsia="en-IE"/>
              </w:rPr>
              <w:t xml:space="preserve">reports and/or </w:t>
            </w:r>
            <w:r w:rsidRPr="00191B6E">
              <w:rPr>
                <w:rFonts w:ascii="Cambria" w:eastAsia="Calibri" w:hAnsi="Cambria"/>
                <w:color w:val="000000" w:themeColor="text1"/>
                <w:sz w:val="22"/>
                <w:szCs w:val="22"/>
                <w:lang w:eastAsia="en-IE"/>
              </w:rPr>
              <w:t xml:space="preserve">publications in areas relevant to GCF. Direct expertise on the GCF is a distinct advantage.  </w:t>
            </w:r>
          </w:p>
          <w:p w14:paraId="56DFA3EE"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5CA0D646" w14:textId="3B464A25"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Excellent ability to critically appraise different layers of evidence including programmes/projects, frameworks, modalities, themes, processes and policies, and information from reviews to inform the assessment, and to extract </w:t>
            </w:r>
            <w:r w:rsidR="007627CB">
              <w:rPr>
                <w:rFonts w:ascii="Cambria" w:eastAsia="Calibri" w:hAnsi="Cambria"/>
                <w:color w:val="000000" w:themeColor="text1"/>
                <w:sz w:val="22"/>
                <w:szCs w:val="22"/>
                <w:lang w:eastAsia="en-IE"/>
              </w:rPr>
              <w:t xml:space="preserve">and synthesize </w:t>
            </w:r>
            <w:r w:rsidRPr="00191B6E">
              <w:rPr>
                <w:rFonts w:ascii="Cambria" w:eastAsia="Calibri" w:hAnsi="Cambria"/>
                <w:color w:val="000000" w:themeColor="text1"/>
                <w:sz w:val="22"/>
                <w:szCs w:val="22"/>
                <w:lang w:eastAsia="en-IE"/>
              </w:rPr>
              <w:t>the key findings and lessons learned.</w:t>
            </w:r>
          </w:p>
          <w:p w14:paraId="21491C17"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0CC75DF9" w14:textId="4DF2E538"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Proven knowledge of mainstream evaluation and monitoring frameworks. </w:t>
            </w:r>
          </w:p>
          <w:p w14:paraId="576CD519"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05381067"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Demonstrated ability to commit to produce a highly credible, very well written assessment report within the budget and period requested, and to take into consideration IEU feedback at multiple stages.</w:t>
            </w:r>
          </w:p>
          <w:p w14:paraId="52D9FD9C" w14:textId="77777777" w:rsidR="00B4309F" w:rsidRPr="00191B6E" w:rsidRDefault="00B4309F" w:rsidP="00FD0561">
            <w:pPr>
              <w:pStyle w:val="ListParagraph"/>
              <w:jc w:val="both"/>
              <w:rPr>
                <w:rFonts w:ascii="Cambria" w:eastAsia="Calibri" w:hAnsi="Cambria"/>
                <w:color w:val="000000" w:themeColor="text1"/>
                <w:sz w:val="22"/>
                <w:szCs w:val="22"/>
                <w:lang w:eastAsia="en-IE"/>
              </w:rPr>
            </w:pPr>
          </w:p>
          <w:p w14:paraId="0FE31A5F"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 xml:space="preserve">Availability to travel to Songdo, South Korea, for data collection (5 days) and to finalize the factual draft of the evaluation report (two days) within the timeline of the evaluation. </w:t>
            </w:r>
          </w:p>
          <w:p w14:paraId="16777A0B"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0091AF13" w14:textId="62DA74F0"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Ability to exercise good judgment, meet tight deadlines and maintain required productivity without compromising quality</w:t>
            </w:r>
          </w:p>
          <w:p w14:paraId="6FF60C6B"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4D475EA1"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Ability to work independently and efficiently with limited guidance in a deadline-driven environment</w:t>
            </w:r>
          </w:p>
          <w:p w14:paraId="4606324F" w14:textId="77777777" w:rsidR="00B4309F" w:rsidRPr="00191B6E" w:rsidRDefault="00B4309F" w:rsidP="00FD0561">
            <w:pPr>
              <w:pStyle w:val="ListParagraph"/>
              <w:rPr>
                <w:rFonts w:ascii="Cambria" w:eastAsia="Calibri" w:hAnsi="Cambria"/>
                <w:color w:val="000000" w:themeColor="text1"/>
                <w:sz w:val="22"/>
                <w:szCs w:val="22"/>
                <w:lang w:eastAsia="en-IE"/>
              </w:rPr>
            </w:pPr>
          </w:p>
          <w:p w14:paraId="76C4E925" w14:textId="77777777" w:rsidR="00B4309F" w:rsidRPr="00191B6E" w:rsidRDefault="00B4309F" w:rsidP="00FD0561">
            <w:pPr>
              <w:pStyle w:val="ListParagraph"/>
              <w:numPr>
                <w:ilvl w:val="0"/>
                <w:numId w:val="1"/>
              </w:numPr>
              <w:jc w:val="both"/>
              <w:rPr>
                <w:rFonts w:ascii="Cambria" w:eastAsia="Calibri" w:hAnsi="Cambria"/>
                <w:color w:val="000000" w:themeColor="text1"/>
                <w:sz w:val="22"/>
                <w:szCs w:val="22"/>
                <w:lang w:eastAsia="en-IE"/>
              </w:rPr>
            </w:pPr>
            <w:r w:rsidRPr="00191B6E">
              <w:rPr>
                <w:rFonts w:ascii="Cambria" w:eastAsia="Calibri" w:hAnsi="Cambria"/>
                <w:color w:val="000000" w:themeColor="text1"/>
                <w:sz w:val="22"/>
                <w:szCs w:val="22"/>
                <w:lang w:eastAsia="en-IE"/>
              </w:rPr>
              <w:t>Fluency in English is essential; knowledge of another United Nations language is an advantage.</w:t>
            </w:r>
          </w:p>
          <w:p w14:paraId="7B313895" w14:textId="77777777" w:rsidR="00B4309F" w:rsidRPr="006507F3" w:rsidRDefault="00B4309F" w:rsidP="00FD0561">
            <w:pPr>
              <w:pStyle w:val="Default"/>
              <w:rPr>
                <w:color w:val="auto"/>
                <w:sz w:val="23"/>
                <w:szCs w:val="23"/>
                <w:highlight w:val="yellow"/>
              </w:rPr>
            </w:pPr>
          </w:p>
          <w:p w14:paraId="2A54ADFB" w14:textId="77777777" w:rsidR="00B4309F" w:rsidRPr="006507F3" w:rsidRDefault="00B4309F" w:rsidP="00FD0561">
            <w:pPr>
              <w:pStyle w:val="Default"/>
              <w:ind w:left="720"/>
              <w:rPr>
                <w:b/>
                <w:bCs/>
                <w:sz w:val="22"/>
                <w:szCs w:val="22"/>
                <w:highlight w:val="yellow"/>
              </w:rPr>
            </w:pPr>
          </w:p>
        </w:tc>
      </w:tr>
      <w:tr w:rsidR="00B4309F" w14:paraId="19BDC2A8" w14:textId="77777777" w:rsidTr="00B4309F">
        <w:trPr>
          <w:trHeight w:val="228"/>
        </w:trPr>
        <w:tc>
          <w:tcPr>
            <w:tcW w:w="5003" w:type="dxa"/>
            <w:gridSpan w:val="4"/>
            <w:tcBorders>
              <w:top w:val="single" w:sz="4" w:space="0" w:color="auto"/>
              <w:left w:val="single" w:sz="4" w:space="0" w:color="auto"/>
              <w:bottom w:val="nil"/>
              <w:right w:val="nil"/>
            </w:tcBorders>
            <w:hideMark/>
          </w:tcPr>
          <w:p w14:paraId="4C059614" w14:textId="77777777" w:rsidR="00B4309F" w:rsidRDefault="00B4309F" w:rsidP="00FD0561">
            <w:pPr>
              <w:jc w:val="right"/>
              <w:rPr>
                <w:rFonts w:ascii="Cambria" w:hAnsi="Cambria" w:cs="Arial"/>
                <w:sz w:val="22"/>
                <w:szCs w:val="22"/>
              </w:rPr>
            </w:pPr>
            <w:r>
              <w:rPr>
                <w:rFonts w:ascii="Cambria" w:hAnsi="Cambria" w:cs="Arial"/>
                <w:sz w:val="22"/>
                <w:szCs w:val="22"/>
              </w:rPr>
              <w:t>Minimum general experience</w:t>
            </w:r>
          </w:p>
        </w:tc>
        <w:tc>
          <w:tcPr>
            <w:tcW w:w="709" w:type="dxa"/>
            <w:tcBorders>
              <w:top w:val="single" w:sz="4" w:space="0" w:color="auto"/>
              <w:left w:val="nil"/>
              <w:bottom w:val="nil"/>
              <w:right w:val="nil"/>
            </w:tcBorders>
            <w:hideMark/>
          </w:tcPr>
          <w:p w14:paraId="0D5B4F9E" w14:textId="77777777" w:rsidR="00B4309F" w:rsidRPr="006507F3" w:rsidRDefault="00B4309F" w:rsidP="00FD0561">
            <w:pPr>
              <w:rPr>
                <w:rFonts w:ascii="Cambria" w:hAnsi="Cambria" w:cs="Arial"/>
                <w:sz w:val="22"/>
                <w:szCs w:val="22"/>
                <w:highlight w:val="yellow"/>
              </w:rPr>
            </w:pPr>
            <w:r>
              <w:rPr>
                <w:rFonts w:ascii="Cambria" w:hAnsi="Cambria" w:cs="Arial"/>
                <w:sz w:val="22"/>
                <w:szCs w:val="22"/>
                <w:highlight w:val="yellow"/>
              </w:rPr>
              <w:t>20</w:t>
            </w:r>
          </w:p>
        </w:tc>
        <w:tc>
          <w:tcPr>
            <w:tcW w:w="1983" w:type="dxa"/>
            <w:gridSpan w:val="2"/>
            <w:tcBorders>
              <w:top w:val="single" w:sz="4" w:space="0" w:color="auto"/>
              <w:left w:val="nil"/>
              <w:bottom w:val="nil"/>
              <w:right w:val="nil"/>
            </w:tcBorders>
            <w:hideMark/>
          </w:tcPr>
          <w:p w14:paraId="030A056B" w14:textId="77777777" w:rsidR="00B4309F" w:rsidRPr="006507F3" w:rsidRDefault="00B4309F" w:rsidP="00FD0561">
            <w:pPr>
              <w:rPr>
                <w:rFonts w:ascii="Cambria" w:hAnsi="Cambria" w:cs="Arial"/>
                <w:b/>
                <w:sz w:val="22"/>
                <w:szCs w:val="22"/>
                <w:highlight w:val="yellow"/>
              </w:rPr>
            </w:pPr>
            <w:r w:rsidRPr="006507F3">
              <w:rPr>
                <w:rFonts w:ascii="Cambria" w:hAnsi="Cambria" w:cs="Arial"/>
                <w:b/>
                <w:sz w:val="22"/>
                <w:szCs w:val="22"/>
                <w:highlight w:val="yellow"/>
              </w:rPr>
              <w:t>Years</w:t>
            </w:r>
          </w:p>
        </w:tc>
        <w:tc>
          <w:tcPr>
            <w:tcW w:w="567" w:type="dxa"/>
            <w:tcBorders>
              <w:top w:val="single" w:sz="4" w:space="0" w:color="auto"/>
              <w:left w:val="nil"/>
              <w:bottom w:val="nil"/>
              <w:right w:val="nil"/>
            </w:tcBorders>
          </w:tcPr>
          <w:p w14:paraId="327E8302" w14:textId="77777777" w:rsidR="00B4309F" w:rsidRDefault="00B4309F" w:rsidP="00FD0561">
            <w:pPr>
              <w:rPr>
                <w:rFonts w:ascii="Cambria" w:hAnsi="Cambria" w:cs="Arial"/>
                <w:sz w:val="22"/>
                <w:szCs w:val="22"/>
              </w:rPr>
            </w:pPr>
          </w:p>
        </w:tc>
        <w:tc>
          <w:tcPr>
            <w:tcW w:w="522" w:type="dxa"/>
            <w:tcBorders>
              <w:top w:val="single" w:sz="4" w:space="0" w:color="auto"/>
              <w:left w:val="nil"/>
              <w:bottom w:val="nil"/>
              <w:right w:val="nil"/>
            </w:tcBorders>
          </w:tcPr>
          <w:p w14:paraId="3A74B2DB" w14:textId="77777777" w:rsidR="00B4309F" w:rsidRDefault="00B4309F" w:rsidP="00FD0561">
            <w:pPr>
              <w:rPr>
                <w:rFonts w:ascii="Cambria" w:hAnsi="Cambria" w:cs="Arial"/>
                <w:sz w:val="22"/>
                <w:szCs w:val="22"/>
              </w:rPr>
            </w:pPr>
          </w:p>
        </w:tc>
        <w:tc>
          <w:tcPr>
            <w:tcW w:w="1211" w:type="dxa"/>
            <w:tcBorders>
              <w:top w:val="single" w:sz="4" w:space="0" w:color="auto"/>
              <w:left w:val="nil"/>
              <w:bottom w:val="nil"/>
              <w:right w:val="single" w:sz="4" w:space="0" w:color="auto"/>
            </w:tcBorders>
          </w:tcPr>
          <w:p w14:paraId="29FE3ED9" w14:textId="77777777" w:rsidR="00B4309F" w:rsidRDefault="00B4309F" w:rsidP="00FD0561">
            <w:pPr>
              <w:rPr>
                <w:rFonts w:ascii="Cambria" w:hAnsi="Cambria" w:cs="Arial"/>
                <w:sz w:val="22"/>
                <w:szCs w:val="22"/>
              </w:rPr>
            </w:pPr>
          </w:p>
        </w:tc>
      </w:tr>
      <w:tr w:rsidR="00B4309F" w14:paraId="76752C61" w14:textId="77777777" w:rsidTr="00B4309F">
        <w:tc>
          <w:tcPr>
            <w:tcW w:w="5003" w:type="dxa"/>
            <w:gridSpan w:val="4"/>
            <w:tcBorders>
              <w:top w:val="nil"/>
              <w:left w:val="single" w:sz="4" w:space="0" w:color="auto"/>
              <w:bottom w:val="nil"/>
              <w:right w:val="nil"/>
            </w:tcBorders>
            <w:hideMark/>
          </w:tcPr>
          <w:p w14:paraId="1FE166DF" w14:textId="77777777" w:rsidR="00B4309F" w:rsidRDefault="00B4309F" w:rsidP="00FD0561">
            <w:pPr>
              <w:jc w:val="right"/>
              <w:rPr>
                <w:rFonts w:ascii="Cambria" w:hAnsi="Cambria" w:cs="Arial"/>
                <w:sz w:val="22"/>
                <w:szCs w:val="22"/>
              </w:rPr>
            </w:pPr>
            <w:r>
              <w:rPr>
                <w:rFonts w:ascii="Cambria" w:hAnsi="Cambria" w:cs="Arial"/>
                <w:sz w:val="22"/>
                <w:szCs w:val="22"/>
              </w:rPr>
              <w:t>Minimum specific experience</w:t>
            </w:r>
          </w:p>
          <w:p w14:paraId="25344990" w14:textId="77777777" w:rsidR="00B4309F" w:rsidRDefault="00B4309F" w:rsidP="00FD0561">
            <w:pPr>
              <w:jc w:val="right"/>
              <w:rPr>
                <w:rFonts w:ascii="Cambria" w:hAnsi="Cambria" w:cs="Arial"/>
                <w:sz w:val="22"/>
                <w:szCs w:val="22"/>
              </w:rPr>
            </w:pPr>
            <w:r>
              <w:rPr>
                <w:rFonts w:ascii="Cambria" w:hAnsi="Cambria" w:cs="Arial"/>
                <w:sz w:val="22"/>
                <w:szCs w:val="22"/>
              </w:rPr>
              <w:t>(relevant to assignment)</w:t>
            </w:r>
          </w:p>
        </w:tc>
        <w:tc>
          <w:tcPr>
            <w:tcW w:w="709" w:type="dxa"/>
            <w:hideMark/>
          </w:tcPr>
          <w:p w14:paraId="61F6D6E7" w14:textId="77777777" w:rsidR="00B4309F" w:rsidRPr="006507F3" w:rsidRDefault="00B4309F" w:rsidP="00FD0561">
            <w:pPr>
              <w:rPr>
                <w:rFonts w:ascii="Cambria" w:hAnsi="Cambria" w:cs="Arial"/>
                <w:sz w:val="22"/>
                <w:szCs w:val="22"/>
                <w:highlight w:val="yellow"/>
              </w:rPr>
            </w:pPr>
            <w:r>
              <w:rPr>
                <w:rFonts w:ascii="Cambria" w:hAnsi="Cambria" w:cs="Arial"/>
                <w:sz w:val="22"/>
                <w:szCs w:val="22"/>
                <w:highlight w:val="yellow"/>
              </w:rPr>
              <w:t>15</w:t>
            </w:r>
          </w:p>
        </w:tc>
        <w:tc>
          <w:tcPr>
            <w:tcW w:w="1983" w:type="dxa"/>
            <w:gridSpan w:val="2"/>
            <w:hideMark/>
          </w:tcPr>
          <w:p w14:paraId="559F4198" w14:textId="77777777" w:rsidR="00B4309F" w:rsidRPr="006507F3" w:rsidRDefault="00B4309F" w:rsidP="00FD0561">
            <w:pPr>
              <w:rPr>
                <w:rFonts w:ascii="Cambria" w:hAnsi="Cambria" w:cs="Arial"/>
                <w:b/>
                <w:sz w:val="22"/>
                <w:szCs w:val="22"/>
                <w:highlight w:val="yellow"/>
              </w:rPr>
            </w:pPr>
            <w:r w:rsidRPr="006507F3">
              <w:rPr>
                <w:rFonts w:ascii="Cambria" w:hAnsi="Cambria" w:cs="Arial"/>
                <w:b/>
                <w:sz w:val="22"/>
                <w:szCs w:val="22"/>
                <w:highlight w:val="yellow"/>
              </w:rPr>
              <w:t>Years</w:t>
            </w:r>
          </w:p>
        </w:tc>
        <w:tc>
          <w:tcPr>
            <w:tcW w:w="567" w:type="dxa"/>
          </w:tcPr>
          <w:p w14:paraId="59A450B7" w14:textId="77777777" w:rsidR="00B4309F" w:rsidRDefault="00B4309F" w:rsidP="00FD0561">
            <w:pPr>
              <w:rPr>
                <w:rFonts w:ascii="Cambria" w:hAnsi="Cambria" w:cs="Arial"/>
                <w:sz w:val="22"/>
                <w:szCs w:val="22"/>
              </w:rPr>
            </w:pPr>
          </w:p>
        </w:tc>
        <w:tc>
          <w:tcPr>
            <w:tcW w:w="522" w:type="dxa"/>
          </w:tcPr>
          <w:p w14:paraId="0FB956EC" w14:textId="77777777" w:rsidR="00B4309F" w:rsidRDefault="00B4309F" w:rsidP="00FD0561">
            <w:pPr>
              <w:rPr>
                <w:rFonts w:ascii="Cambria" w:hAnsi="Cambria" w:cs="Arial"/>
                <w:sz w:val="22"/>
                <w:szCs w:val="22"/>
              </w:rPr>
            </w:pPr>
          </w:p>
        </w:tc>
        <w:tc>
          <w:tcPr>
            <w:tcW w:w="1211" w:type="dxa"/>
            <w:tcBorders>
              <w:top w:val="nil"/>
              <w:left w:val="nil"/>
              <w:bottom w:val="nil"/>
              <w:right w:val="single" w:sz="4" w:space="0" w:color="auto"/>
            </w:tcBorders>
          </w:tcPr>
          <w:p w14:paraId="5448586D" w14:textId="77777777" w:rsidR="00B4309F" w:rsidRDefault="00B4309F" w:rsidP="00FD0561">
            <w:pPr>
              <w:rPr>
                <w:rFonts w:ascii="Cambria" w:hAnsi="Cambria" w:cs="Arial"/>
                <w:sz w:val="22"/>
                <w:szCs w:val="22"/>
              </w:rPr>
            </w:pPr>
          </w:p>
        </w:tc>
      </w:tr>
      <w:tr w:rsidR="00B4309F" w14:paraId="3AC28E98" w14:textId="77777777" w:rsidTr="00B4309F">
        <w:tc>
          <w:tcPr>
            <w:tcW w:w="5003" w:type="dxa"/>
            <w:gridSpan w:val="4"/>
            <w:tcBorders>
              <w:top w:val="nil"/>
              <w:left w:val="single" w:sz="4" w:space="0" w:color="auto"/>
              <w:bottom w:val="nil"/>
              <w:right w:val="nil"/>
            </w:tcBorders>
            <w:hideMark/>
          </w:tcPr>
          <w:p w14:paraId="08347CD4" w14:textId="77777777" w:rsidR="00B4309F" w:rsidRDefault="00B4309F" w:rsidP="00FD0561">
            <w:pPr>
              <w:jc w:val="right"/>
              <w:rPr>
                <w:rFonts w:ascii="Cambria" w:hAnsi="Cambria" w:cs="Arial"/>
                <w:sz w:val="22"/>
                <w:szCs w:val="22"/>
              </w:rPr>
            </w:pPr>
            <w:r>
              <w:rPr>
                <w:rFonts w:ascii="Cambria" w:hAnsi="Cambria" w:cs="Arial"/>
                <w:sz w:val="22"/>
                <w:szCs w:val="22"/>
              </w:rPr>
              <w:t>Regional/country experience</w:t>
            </w:r>
          </w:p>
        </w:tc>
        <w:tc>
          <w:tcPr>
            <w:tcW w:w="2692" w:type="dxa"/>
            <w:gridSpan w:val="3"/>
          </w:tcPr>
          <w:p w14:paraId="60A58098" w14:textId="77777777" w:rsidR="00B4309F" w:rsidRPr="006507F3" w:rsidRDefault="00B4309F" w:rsidP="00FD0561">
            <w:pPr>
              <w:ind w:right="-115"/>
              <w:rPr>
                <w:rFonts w:ascii="Cambria" w:hAnsi="Cambria" w:cs="Arial"/>
                <w:sz w:val="22"/>
                <w:szCs w:val="22"/>
                <w:highlight w:val="yellow"/>
              </w:rPr>
            </w:pPr>
            <w:r w:rsidRPr="006507F3">
              <w:rPr>
                <w:rFonts w:ascii="Cambria" w:hAnsi="Cambria" w:cs="Arial"/>
                <w:sz w:val="22"/>
                <w:szCs w:val="22"/>
                <w:highlight w:val="yellow"/>
              </w:rPr>
              <w:t>N/A</w:t>
            </w:r>
          </w:p>
          <w:p w14:paraId="48432E2C" w14:textId="77777777" w:rsidR="00B4309F" w:rsidRPr="006507F3" w:rsidRDefault="00B4309F" w:rsidP="00FD0561">
            <w:pPr>
              <w:ind w:right="-115"/>
              <w:rPr>
                <w:rFonts w:ascii="Cambria" w:hAnsi="Cambria" w:cs="Arial"/>
                <w:sz w:val="22"/>
                <w:szCs w:val="22"/>
                <w:highlight w:val="yellow"/>
              </w:rPr>
            </w:pPr>
          </w:p>
        </w:tc>
        <w:tc>
          <w:tcPr>
            <w:tcW w:w="567" w:type="dxa"/>
          </w:tcPr>
          <w:p w14:paraId="544F177D" w14:textId="77777777" w:rsidR="00B4309F" w:rsidRDefault="00B4309F" w:rsidP="00FD0561">
            <w:pPr>
              <w:rPr>
                <w:rFonts w:ascii="Cambria" w:hAnsi="Cambria" w:cs="Arial"/>
                <w:sz w:val="22"/>
                <w:szCs w:val="22"/>
              </w:rPr>
            </w:pPr>
          </w:p>
        </w:tc>
        <w:tc>
          <w:tcPr>
            <w:tcW w:w="522" w:type="dxa"/>
          </w:tcPr>
          <w:p w14:paraId="7944F784" w14:textId="77777777" w:rsidR="00B4309F" w:rsidRDefault="00B4309F" w:rsidP="00FD0561">
            <w:pPr>
              <w:rPr>
                <w:rFonts w:ascii="Cambria" w:hAnsi="Cambria" w:cs="Arial"/>
                <w:sz w:val="22"/>
                <w:szCs w:val="22"/>
              </w:rPr>
            </w:pPr>
          </w:p>
        </w:tc>
        <w:tc>
          <w:tcPr>
            <w:tcW w:w="1211" w:type="dxa"/>
            <w:tcBorders>
              <w:top w:val="nil"/>
              <w:left w:val="nil"/>
              <w:bottom w:val="nil"/>
              <w:right w:val="single" w:sz="4" w:space="0" w:color="auto"/>
            </w:tcBorders>
          </w:tcPr>
          <w:p w14:paraId="65D86C60" w14:textId="77777777" w:rsidR="00B4309F" w:rsidRDefault="00B4309F" w:rsidP="00FD0561">
            <w:pPr>
              <w:rPr>
                <w:rFonts w:ascii="Cambria" w:hAnsi="Cambria" w:cs="Arial"/>
                <w:sz w:val="22"/>
                <w:szCs w:val="22"/>
              </w:rPr>
            </w:pPr>
          </w:p>
        </w:tc>
      </w:tr>
      <w:tr w:rsidR="00B4309F" w14:paraId="777E37A1" w14:textId="77777777" w:rsidTr="00B4309F">
        <w:tc>
          <w:tcPr>
            <w:tcW w:w="9995" w:type="dxa"/>
            <w:gridSpan w:val="10"/>
            <w:tcBorders>
              <w:top w:val="single" w:sz="4" w:space="0" w:color="auto"/>
              <w:left w:val="single" w:sz="4" w:space="0" w:color="auto"/>
              <w:bottom w:val="nil"/>
              <w:right w:val="single" w:sz="4" w:space="0" w:color="auto"/>
            </w:tcBorders>
            <w:hideMark/>
          </w:tcPr>
          <w:p w14:paraId="54E53063" w14:textId="77777777" w:rsidR="00B4309F" w:rsidRDefault="00B4309F" w:rsidP="00FD0561">
            <w:pPr>
              <w:rPr>
                <w:rFonts w:ascii="Cambria" w:hAnsi="Cambria" w:cs="Arial"/>
                <w:sz w:val="22"/>
                <w:szCs w:val="22"/>
                <w:u w:val="single"/>
              </w:rPr>
            </w:pPr>
            <w:r>
              <w:rPr>
                <w:rFonts w:ascii="Cambria" w:hAnsi="Cambria" w:cs="Arial"/>
                <w:b/>
                <w:sz w:val="22"/>
                <w:szCs w:val="22"/>
              </w:rPr>
              <w:t xml:space="preserve">Schedule and </w:t>
            </w:r>
            <w:r>
              <w:rPr>
                <w:rFonts w:ascii="Cambria" w:hAnsi="Cambria" w:cs="Arial"/>
                <w:b/>
                <w:bCs/>
                <w:sz w:val="22"/>
                <w:szCs w:val="22"/>
              </w:rPr>
              <w:t>location of assignment*</w:t>
            </w:r>
          </w:p>
        </w:tc>
      </w:tr>
      <w:tr w:rsidR="00B4309F" w14:paraId="64817097" w14:textId="77777777" w:rsidTr="00B4309F">
        <w:tc>
          <w:tcPr>
            <w:tcW w:w="1888" w:type="dxa"/>
            <w:tcBorders>
              <w:top w:val="nil"/>
              <w:left w:val="single" w:sz="4" w:space="0" w:color="auto"/>
              <w:bottom w:val="nil"/>
              <w:right w:val="nil"/>
            </w:tcBorders>
            <w:tcMar>
              <w:top w:w="0" w:type="dxa"/>
              <w:left w:w="108" w:type="dxa"/>
              <w:bottom w:w="0" w:type="dxa"/>
              <w:right w:w="108" w:type="dxa"/>
            </w:tcMar>
          </w:tcPr>
          <w:p w14:paraId="40290A62" w14:textId="77777777" w:rsidR="00B4309F" w:rsidRDefault="00B4309F" w:rsidP="00FD0561">
            <w:pPr>
              <w:rPr>
                <w:rFonts w:ascii="Cambria" w:hAnsi="Cambria" w:cs="Arial"/>
                <w:bCs/>
                <w:sz w:val="22"/>
                <w:szCs w:val="22"/>
                <w:u w:val="single"/>
              </w:rPr>
            </w:pPr>
          </w:p>
        </w:tc>
        <w:tc>
          <w:tcPr>
            <w:tcW w:w="2265" w:type="dxa"/>
            <w:gridSpan w:val="2"/>
            <w:tcMar>
              <w:top w:w="0" w:type="dxa"/>
              <w:left w:w="108" w:type="dxa"/>
              <w:bottom w:w="0" w:type="dxa"/>
              <w:right w:w="108" w:type="dxa"/>
            </w:tcMar>
          </w:tcPr>
          <w:p w14:paraId="018024DA" w14:textId="77777777" w:rsidR="00B4309F" w:rsidRDefault="00B4309F" w:rsidP="00FD0561">
            <w:pPr>
              <w:rPr>
                <w:rFonts w:ascii="Cambria" w:hAnsi="Cambria" w:cs="Arial"/>
                <w:bCs/>
                <w:sz w:val="22"/>
                <w:szCs w:val="22"/>
                <w:u w:val="single"/>
              </w:rPr>
            </w:pPr>
          </w:p>
        </w:tc>
        <w:tc>
          <w:tcPr>
            <w:tcW w:w="1559" w:type="dxa"/>
            <w:gridSpan w:val="2"/>
            <w:tcMar>
              <w:top w:w="0" w:type="dxa"/>
              <w:left w:w="108" w:type="dxa"/>
              <w:bottom w:w="0" w:type="dxa"/>
              <w:right w:w="108" w:type="dxa"/>
            </w:tcMar>
          </w:tcPr>
          <w:p w14:paraId="2C126B1B" w14:textId="77777777" w:rsidR="00B4309F" w:rsidRDefault="00B4309F" w:rsidP="00FD0561">
            <w:pPr>
              <w:rPr>
                <w:rFonts w:ascii="Cambria" w:hAnsi="Cambria" w:cs="Arial"/>
                <w:sz w:val="22"/>
                <w:szCs w:val="22"/>
                <w:u w:val="single"/>
              </w:rPr>
            </w:pPr>
          </w:p>
        </w:tc>
        <w:tc>
          <w:tcPr>
            <w:tcW w:w="1558" w:type="dxa"/>
            <w:tcMar>
              <w:top w:w="0" w:type="dxa"/>
              <w:left w:w="108" w:type="dxa"/>
              <w:bottom w:w="0" w:type="dxa"/>
              <w:right w:w="108" w:type="dxa"/>
            </w:tcMar>
          </w:tcPr>
          <w:p w14:paraId="59A3AF38" w14:textId="77777777" w:rsidR="00B4309F" w:rsidRDefault="00B4309F" w:rsidP="00FD0561">
            <w:pPr>
              <w:rPr>
                <w:rFonts w:ascii="Cambria" w:hAnsi="Cambria" w:cs="Arial"/>
                <w:sz w:val="22"/>
                <w:szCs w:val="22"/>
                <w:u w:val="single"/>
              </w:rPr>
            </w:pPr>
          </w:p>
        </w:tc>
        <w:tc>
          <w:tcPr>
            <w:tcW w:w="2725" w:type="dxa"/>
            <w:gridSpan w:val="4"/>
            <w:tcBorders>
              <w:top w:val="nil"/>
              <w:left w:val="nil"/>
              <w:bottom w:val="nil"/>
              <w:right w:val="single" w:sz="4" w:space="0" w:color="auto"/>
            </w:tcBorders>
            <w:tcMar>
              <w:top w:w="0" w:type="dxa"/>
              <w:left w:w="108" w:type="dxa"/>
              <w:bottom w:w="0" w:type="dxa"/>
              <w:right w:w="108" w:type="dxa"/>
            </w:tcMar>
          </w:tcPr>
          <w:p w14:paraId="7785D676" w14:textId="77777777" w:rsidR="00B4309F" w:rsidRDefault="00B4309F" w:rsidP="00FD0561">
            <w:pPr>
              <w:rPr>
                <w:rFonts w:ascii="Cambria" w:hAnsi="Cambria" w:cs="Arial"/>
                <w:sz w:val="22"/>
                <w:szCs w:val="22"/>
                <w:u w:val="single"/>
              </w:rPr>
            </w:pPr>
          </w:p>
        </w:tc>
      </w:tr>
      <w:tr w:rsidR="00B4309F" w14:paraId="510B1C13" w14:textId="77777777" w:rsidTr="00B4309F">
        <w:tc>
          <w:tcPr>
            <w:tcW w:w="1888" w:type="dxa"/>
            <w:tcBorders>
              <w:top w:val="nil"/>
              <w:left w:val="single" w:sz="4" w:space="0" w:color="auto"/>
              <w:bottom w:val="nil"/>
              <w:right w:val="nil"/>
            </w:tcBorders>
            <w:tcMar>
              <w:top w:w="0" w:type="dxa"/>
              <w:left w:w="108" w:type="dxa"/>
              <w:bottom w:w="0" w:type="dxa"/>
              <w:right w:w="108" w:type="dxa"/>
            </w:tcMar>
            <w:hideMark/>
          </w:tcPr>
          <w:p w14:paraId="54C93748" w14:textId="77777777" w:rsidR="00B4309F" w:rsidRDefault="00B4309F" w:rsidP="00FD0561">
            <w:pPr>
              <w:rPr>
                <w:rFonts w:ascii="Cambria" w:hAnsi="Cambria" w:cs="Arial"/>
                <w:bCs/>
                <w:sz w:val="22"/>
                <w:szCs w:val="22"/>
                <w:u w:val="single"/>
              </w:rPr>
            </w:pPr>
            <w:r>
              <w:rPr>
                <w:rFonts w:ascii="Cambria" w:hAnsi="Cambria" w:cs="Arial"/>
                <w:bCs/>
                <w:sz w:val="22"/>
                <w:szCs w:val="22"/>
                <w:u w:val="single"/>
              </w:rPr>
              <w:t>City and country</w:t>
            </w:r>
          </w:p>
        </w:tc>
        <w:tc>
          <w:tcPr>
            <w:tcW w:w="2265" w:type="dxa"/>
            <w:gridSpan w:val="2"/>
            <w:tcMar>
              <w:top w:w="0" w:type="dxa"/>
              <w:left w:w="108" w:type="dxa"/>
              <w:bottom w:w="0" w:type="dxa"/>
              <w:right w:w="108" w:type="dxa"/>
            </w:tcMar>
            <w:hideMark/>
          </w:tcPr>
          <w:p w14:paraId="465AAA9C" w14:textId="77777777" w:rsidR="00B4309F" w:rsidRDefault="00B4309F" w:rsidP="00FD0561">
            <w:pPr>
              <w:rPr>
                <w:rFonts w:ascii="Cambria" w:hAnsi="Cambria" w:cs="Arial"/>
                <w:sz w:val="22"/>
                <w:szCs w:val="22"/>
                <w:u w:val="single"/>
              </w:rPr>
            </w:pPr>
            <w:r>
              <w:rPr>
                <w:rFonts w:ascii="Cambria" w:hAnsi="Cambria" w:cs="Arial"/>
                <w:bCs/>
                <w:sz w:val="22"/>
                <w:szCs w:val="22"/>
                <w:u w:val="single"/>
              </w:rPr>
              <w:t>Working days</w:t>
            </w:r>
          </w:p>
        </w:tc>
        <w:tc>
          <w:tcPr>
            <w:tcW w:w="1559" w:type="dxa"/>
            <w:gridSpan w:val="2"/>
            <w:tcMar>
              <w:top w:w="0" w:type="dxa"/>
              <w:left w:w="108" w:type="dxa"/>
              <w:bottom w:w="0" w:type="dxa"/>
              <w:right w:w="108" w:type="dxa"/>
            </w:tcMar>
            <w:hideMark/>
          </w:tcPr>
          <w:p w14:paraId="1F4FFA44" w14:textId="77777777" w:rsidR="00B4309F" w:rsidRDefault="00B4309F" w:rsidP="00FD0561">
            <w:pPr>
              <w:rPr>
                <w:rFonts w:ascii="Cambria" w:hAnsi="Cambria" w:cs="Arial"/>
                <w:sz w:val="22"/>
                <w:szCs w:val="22"/>
                <w:u w:val="single"/>
              </w:rPr>
            </w:pPr>
            <w:r>
              <w:rPr>
                <w:rFonts w:ascii="Cambria" w:hAnsi="Cambria" w:cs="Arial"/>
                <w:sz w:val="22"/>
                <w:szCs w:val="22"/>
                <w:u w:val="single"/>
              </w:rPr>
              <w:t>Est. start date</w:t>
            </w:r>
          </w:p>
        </w:tc>
        <w:tc>
          <w:tcPr>
            <w:tcW w:w="1558" w:type="dxa"/>
            <w:tcMar>
              <w:top w:w="0" w:type="dxa"/>
              <w:left w:w="108" w:type="dxa"/>
              <w:bottom w:w="0" w:type="dxa"/>
              <w:right w:w="108" w:type="dxa"/>
            </w:tcMar>
            <w:hideMark/>
          </w:tcPr>
          <w:p w14:paraId="5A40C324" w14:textId="77777777" w:rsidR="00B4309F" w:rsidRDefault="00B4309F" w:rsidP="00FD0561">
            <w:pPr>
              <w:rPr>
                <w:rFonts w:ascii="Cambria" w:hAnsi="Cambria" w:cs="Arial"/>
                <w:sz w:val="22"/>
                <w:szCs w:val="22"/>
                <w:u w:val="single"/>
              </w:rPr>
            </w:pPr>
            <w:r>
              <w:rPr>
                <w:rFonts w:ascii="Cambria" w:hAnsi="Cambria" w:cs="Arial"/>
                <w:sz w:val="22"/>
                <w:szCs w:val="22"/>
                <w:u w:val="single"/>
              </w:rPr>
              <w:t>Est. end date</w:t>
            </w:r>
          </w:p>
        </w:tc>
        <w:tc>
          <w:tcPr>
            <w:tcW w:w="2725" w:type="dxa"/>
            <w:gridSpan w:val="4"/>
            <w:tcBorders>
              <w:top w:val="nil"/>
              <w:left w:val="nil"/>
              <w:bottom w:val="nil"/>
              <w:right w:val="single" w:sz="4" w:space="0" w:color="auto"/>
            </w:tcBorders>
            <w:tcMar>
              <w:top w:w="0" w:type="dxa"/>
              <w:left w:w="108" w:type="dxa"/>
              <w:bottom w:w="0" w:type="dxa"/>
              <w:right w:w="108" w:type="dxa"/>
            </w:tcMar>
            <w:hideMark/>
          </w:tcPr>
          <w:p w14:paraId="018B1E03" w14:textId="77777777" w:rsidR="00B4309F" w:rsidRDefault="00B4309F" w:rsidP="00FD0561">
            <w:pPr>
              <w:rPr>
                <w:rFonts w:ascii="Cambria" w:hAnsi="Cambria" w:cs="Arial"/>
                <w:sz w:val="22"/>
                <w:szCs w:val="22"/>
                <w:u w:val="single"/>
              </w:rPr>
            </w:pPr>
            <w:r>
              <w:rPr>
                <w:rFonts w:ascii="Cambria" w:hAnsi="Cambria" w:cs="Arial"/>
                <w:sz w:val="22"/>
                <w:szCs w:val="22"/>
                <w:u w:val="single"/>
              </w:rPr>
              <w:t>Other details</w:t>
            </w:r>
          </w:p>
        </w:tc>
      </w:tr>
      <w:tr w:rsidR="00B4309F" w:rsidRPr="006507F3" w14:paraId="1F5A29FD" w14:textId="77777777" w:rsidTr="00B4309F">
        <w:tc>
          <w:tcPr>
            <w:tcW w:w="1888" w:type="dxa"/>
            <w:tcBorders>
              <w:top w:val="nil"/>
              <w:left w:val="single" w:sz="4" w:space="0" w:color="auto"/>
              <w:bottom w:val="nil"/>
              <w:right w:val="nil"/>
            </w:tcBorders>
            <w:tcMar>
              <w:top w:w="0" w:type="dxa"/>
              <w:left w:w="108" w:type="dxa"/>
              <w:bottom w:w="0" w:type="dxa"/>
              <w:right w:w="108" w:type="dxa"/>
            </w:tcMar>
            <w:hideMark/>
          </w:tcPr>
          <w:p w14:paraId="3240ED94" w14:textId="77777777" w:rsidR="00B4309F" w:rsidRDefault="00B4309F" w:rsidP="00FD0561">
            <w:pPr>
              <w:rPr>
                <w:rFonts w:ascii="Cambria" w:hAnsi="Cambria" w:cs="Arial"/>
                <w:bCs/>
                <w:sz w:val="22"/>
                <w:szCs w:val="22"/>
              </w:rPr>
            </w:pPr>
            <w:r>
              <w:rPr>
                <w:rFonts w:ascii="Cambria" w:hAnsi="Cambria"/>
                <w:sz w:val="22"/>
                <w:szCs w:val="22"/>
                <w:lang w:val="en-GB"/>
              </w:rPr>
              <w:t>Remote work</w:t>
            </w:r>
          </w:p>
        </w:tc>
        <w:tc>
          <w:tcPr>
            <w:tcW w:w="2265" w:type="dxa"/>
            <w:gridSpan w:val="2"/>
            <w:tcMar>
              <w:top w:w="0" w:type="dxa"/>
              <w:left w:w="108" w:type="dxa"/>
              <w:bottom w:w="0" w:type="dxa"/>
              <w:right w:w="108" w:type="dxa"/>
            </w:tcMar>
            <w:hideMark/>
          </w:tcPr>
          <w:p w14:paraId="7FE7228D" w14:textId="77777777" w:rsidR="00B4309F" w:rsidRPr="006507F3" w:rsidRDefault="00B4309F" w:rsidP="00FD0561">
            <w:pPr>
              <w:rPr>
                <w:rFonts w:ascii="Cambria" w:hAnsi="Cambria" w:cs="Arial"/>
                <w:bCs/>
                <w:sz w:val="22"/>
                <w:szCs w:val="22"/>
                <w:highlight w:val="yellow"/>
              </w:rPr>
            </w:pPr>
            <w:r>
              <w:rPr>
                <w:rStyle w:val="normaltextrun"/>
                <w:rFonts w:ascii="Cambria" w:hAnsi="Cambria"/>
                <w:color w:val="000000"/>
                <w:sz w:val="22"/>
                <w:szCs w:val="22"/>
                <w:shd w:val="clear" w:color="auto" w:fill="FFFF00"/>
              </w:rPr>
              <w:t>________</w:t>
            </w:r>
          </w:p>
        </w:tc>
        <w:tc>
          <w:tcPr>
            <w:tcW w:w="1559" w:type="dxa"/>
            <w:gridSpan w:val="2"/>
            <w:tcMar>
              <w:top w:w="0" w:type="dxa"/>
              <w:left w:w="108" w:type="dxa"/>
              <w:bottom w:w="0" w:type="dxa"/>
              <w:right w:w="108" w:type="dxa"/>
            </w:tcMar>
            <w:hideMark/>
          </w:tcPr>
          <w:p w14:paraId="6125689E" w14:textId="77777777" w:rsidR="00B4309F" w:rsidRPr="006507F3" w:rsidRDefault="00B4309F" w:rsidP="00FD0561">
            <w:pPr>
              <w:rPr>
                <w:rFonts w:ascii="Cambria" w:hAnsi="Cambria" w:cs="Arial"/>
                <w:sz w:val="22"/>
                <w:szCs w:val="22"/>
                <w:highlight w:val="yellow"/>
              </w:rPr>
            </w:pPr>
            <w:r>
              <w:rPr>
                <w:rStyle w:val="normaltextrun"/>
                <w:rFonts w:ascii="Cambria" w:hAnsi="Cambria"/>
                <w:color w:val="000000"/>
                <w:sz w:val="22"/>
                <w:szCs w:val="22"/>
                <w:shd w:val="clear" w:color="auto" w:fill="FFFF00"/>
              </w:rPr>
              <w:t>________________</w:t>
            </w:r>
          </w:p>
        </w:tc>
        <w:tc>
          <w:tcPr>
            <w:tcW w:w="1558" w:type="dxa"/>
            <w:tcMar>
              <w:top w:w="0" w:type="dxa"/>
              <w:left w:w="108" w:type="dxa"/>
              <w:bottom w:w="0" w:type="dxa"/>
              <w:right w:w="108" w:type="dxa"/>
            </w:tcMar>
            <w:hideMark/>
          </w:tcPr>
          <w:p w14:paraId="732B56BA" w14:textId="77777777" w:rsidR="00B4309F" w:rsidRPr="006507F3" w:rsidRDefault="00B4309F" w:rsidP="00FD0561">
            <w:pPr>
              <w:rPr>
                <w:rFonts w:ascii="Cambria" w:hAnsi="Cambria" w:cs="Arial"/>
                <w:sz w:val="22"/>
                <w:szCs w:val="22"/>
                <w:highlight w:val="yellow"/>
              </w:rPr>
            </w:pPr>
            <w:r>
              <w:rPr>
                <w:rStyle w:val="normaltextrun"/>
                <w:rFonts w:ascii="Cambria" w:hAnsi="Cambria"/>
                <w:color w:val="000000"/>
                <w:sz w:val="22"/>
                <w:szCs w:val="22"/>
                <w:shd w:val="clear" w:color="auto" w:fill="FFFF00"/>
              </w:rPr>
              <w:t>_______________</w:t>
            </w:r>
          </w:p>
        </w:tc>
        <w:tc>
          <w:tcPr>
            <w:tcW w:w="2725" w:type="dxa"/>
            <w:gridSpan w:val="4"/>
            <w:tcBorders>
              <w:top w:val="nil"/>
              <w:left w:val="nil"/>
              <w:bottom w:val="nil"/>
              <w:right w:val="single" w:sz="4" w:space="0" w:color="auto"/>
            </w:tcBorders>
            <w:tcMar>
              <w:top w:w="0" w:type="dxa"/>
              <w:left w:w="108" w:type="dxa"/>
              <w:bottom w:w="0" w:type="dxa"/>
              <w:right w:w="108" w:type="dxa"/>
            </w:tcMar>
            <w:hideMark/>
          </w:tcPr>
          <w:p w14:paraId="60AB1BE6" w14:textId="77777777" w:rsidR="00B4309F" w:rsidRPr="006507F3" w:rsidRDefault="00B4309F" w:rsidP="00FD0561">
            <w:pPr>
              <w:rPr>
                <w:rFonts w:ascii="Cambria" w:hAnsi="Cambria" w:cs="Arial"/>
                <w:sz w:val="22"/>
                <w:szCs w:val="22"/>
                <w:highlight w:val="yellow"/>
              </w:rPr>
            </w:pPr>
            <w:r w:rsidRPr="006507F3">
              <w:rPr>
                <w:rFonts w:ascii="Cambria" w:hAnsi="Cambria" w:cs="Arial"/>
                <w:sz w:val="22"/>
                <w:szCs w:val="22"/>
                <w:highlight w:val="yellow"/>
              </w:rPr>
              <w:t>N/A</w:t>
            </w:r>
          </w:p>
        </w:tc>
      </w:tr>
      <w:tr w:rsidR="00B4309F" w:rsidRPr="006507F3" w14:paraId="60F05202" w14:textId="77777777" w:rsidTr="00B4309F">
        <w:trPr>
          <w:trHeight w:val="364"/>
        </w:trPr>
        <w:tc>
          <w:tcPr>
            <w:tcW w:w="1888" w:type="dxa"/>
            <w:tcBorders>
              <w:top w:val="nil"/>
              <w:left w:val="single" w:sz="4" w:space="0" w:color="auto"/>
              <w:bottom w:val="nil"/>
              <w:right w:val="nil"/>
            </w:tcBorders>
            <w:tcMar>
              <w:top w:w="0" w:type="dxa"/>
              <w:left w:w="108" w:type="dxa"/>
              <w:bottom w:w="0" w:type="dxa"/>
              <w:right w:w="108" w:type="dxa"/>
            </w:tcMar>
          </w:tcPr>
          <w:p w14:paraId="610983CF" w14:textId="77777777" w:rsidR="00B4309F" w:rsidRDefault="00B4309F" w:rsidP="00FD0561">
            <w:pPr>
              <w:rPr>
                <w:rFonts w:ascii="Cambria" w:hAnsi="Cambria" w:cs="Arial"/>
                <w:bCs/>
                <w:sz w:val="22"/>
                <w:szCs w:val="22"/>
              </w:rPr>
            </w:pPr>
          </w:p>
          <w:p w14:paraId="45127F2E" w14:textId="77777777" w:rsidR="00B4309F" w:rsidRDefault="00B4309F" w:rsidP="00FD0561">
            <w:pPr>
              <w:rPr>
                <w:rFonts w:ascii="Cambria" w:hAnsi="Cambria" w:cs="Arial"/>
                <w:bCs/>
                <w:sz w:val="22"/>
                <w:szCs w:val="22"/>
              </w:rPr>
            </w:pPr>
            <w:r>
              <w:rPr>
                <w:rFonts w:ascii="Cambria" w:hAnsi="Cambria" w:cs="Arial"/>
                <w:bCs/>
                <w:sz w:val="22"/>
                <w:szCs w:val="22"/>
              </w:rPr>
              <w:t>TOTAL</w:t>
            </w:r>
          </w:p>
        </w:tc>
        <w:tc>
          <w:tcPr>
            <w:tcW w:w="2265" w:type="dxa"/>
            <w:gridSpan w:val="2"/>
            <w:tcMar>
              <w:top w:w="0" w:type="dxa"/>
              <w:left w:w="108" w:type="dxa"/>
              <w:bottom w:w="0" w:type="dxa"/>
              <w:right w:w="108" w:type="dxa"/>
            </w:tcMar>
          </w:tcPr>
          <w:p w14:paraId="71A5DF86" w14:textId="77777777" w:rsidR="00B4309F" w:rsidRPr="006507F3" w:rsidRDefault="00B4309F" w:rsidP="00FD0561">
            <w:pPr>
              <w:rPr>
                <w:rFonts w:ascii="Cambria" w:hAnsi="Cambria" w:cs="Arial"/>
                <w:b/>
                <w:bCs/>
                <w:sz w:val="22"/>
                <w:szCs w:val="22"/>
                <w:highlight w:val="yellow"/>
              </w:rPr>
            </w:pPr>
          </w:p>
          <w:p w14:paraId="037D1364" w14:textId="77777777" w:rsidR="00B4309F" w:rsidRPr="006507F3" w:rsidRDefault="00B4309F" w:rsidP="00FD0561">
            <w:pPr>
              <w:rPr>
                <w:rFonts w:ascii="Cambria" w:hAnsi="Cambria" w:cs="Arial"/>
                <w:b/>
                <w:bCs/>
                <w:sz w:val="22"/>
                <w:szCs w:val="22"/>
                <w:highlight w:val="yellow"/>
              </w:rPr>
            </w:pPr>
            <w:r>
              <w:rPr>
                <w:rStyle w:val="normaltextrun"/>
                <w:rFonts w:ascii="Cambria" w:hAnsi="Cambria"/>
                <w:color w:val="000000"/>
                <w:sz w:val="22"/>
                <w:szCs w:val="22"/>
                <w:shd w:val="clear" w:color="auto" w:fill="FFFF00"/>
              </w:rPr>
              <w:t>__________WD</w:t>
            </w:r>
          </w:p>
        </w:tc>
        <w:tc>
          <w:tcPr>
            <w:tcW w:w="1559" w:type="dxa"/>
            <w:gridSpan w:val="2"/>
            <w:tcMar>
              <w:top w:w="0" w:type="dxa"/>
              <w:left w:w="108" w:type="dxa"/>
              <w:bottom w:w="0" w:type="dxa"/>
              <w:right w:w="108" w:type="dxa"/>
            </w:tcMar>
          </w:tcPr>
          <w:p w14:paraId="705D929B" w14:textId="77777777" w:rsidR="00B4309F" w:rsidRPr="006507F3" w:rsidRDefault="00B4309F" w:rsidP="00FD0561">
            <w:pPr>
              <w:rPr>
                <w:rFonts w:ascii="Cambria" w:hAnsi="Cambria" w:cs="Arial"/>
                <w:bCs/>
                <w:sz w:val="22"/>
                <w:szCs w:val="22"/>
                <w:highlight w:val="yellow"/>
              </w:rPr>
            </w:pPr>
          </w:p>
        </w:tc>
        <w:tc>
          <w:tcPr>
            <w:tcW w:w="1558" w:type="dxa"/>
            <w:tcMar>
              <w:top w:w="0" w:type="dxa"/>
              <w:left w:w="108" w:type="dxa"/>
              <w:bottom w:w="0" w:type="dxa"/>
              <w:right w:w="108" w:type="dxa"/>
            </w:tcMar>
          </w:tcPr>
          <w:p w14:paraId="50CE35C0" w14:textId="77777777" w:rsidR="00B4309F" w:rsidRPr="006507F3" w:rsidRDefault="00B4309F" w:rsidP="00FD0561">
            <w:pPr>
              <w:rPr>
                <w:rFonts w:ascii="Cambria" w:hAnsi="Cambria" w:cs="Arial"/>
                <w:bCs/>
                <w:sz w:val="22"/>
                <w:szCs w:val="22"/>
                <w:highlight w:val="yellow"/>
              </w:rPr>
            </w:pPr>
          </w:p>
        </w:tc>
        <w:tc>
          <w:tcPr>
            <w:tcW w:w="2725" w:type="dxa"/>
            <w:gridSpan w:val="4"/>
            <w:tcBorders>
              <w:top w:val="nil"/>
              <w:left w:val="nil"/>
              <w:bottom w:val="nil"/>
              <w:right w:val="single" w:sz="4" w:space="0" w:color="auto"/>
            </w:tcBorders>
            <w:tcMar>
              <w:top w:w="0" w:type="dxa"/>
              <w:left w:w="108" w:type="dxa"/>
              <w:bottom w:w="0" w:type="dxa"/>
              <w:right w:w="108" w:type="dxa"/>
            </w:tcMar>
          </w:tcPr>
          <w:p w14:paraId="11F0E0E4" w14:textId="77777777" w:rsidR="00B4309F" w:rsidRPr="006507F3" w:rsidRDefault="00B4309F" w:rsidP="00FD0561">
            <w:pPr>
              <w:rPr>
                <w:rFonts w:ascii="Cambria" w:hAnsi="Cambria" w:cs="Arial"/>
                <w:sz w:val="22"/>
                <w:szCs w:val="22"/>
                <w:highlight w:val="yellow"/>
                <w:u w:val="single"/>
              </w:rPr>
            </w:pPr>
          </w:p>
        </w:tc>
      </w:tr>
      <w:tr w:rsidR="00B4309F" w14:paraId="1CFDD75D" w14:textId="77777777" w:rsidTr="00B4309F">
        <w:tc>
          <w:tcPr>
            <w:tcW w:w="9995" w:type="dxa"/>
            <w:gridSpan w:val="10"/>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D83B35" w14:textId="77777777" w:rsidR="00C12CCF" w:rsidRDefault="00C12CCF" w:rsidP="00FD0561">
            <w:pPr>
              <w:rPr>
                <w:rFonts w:ascii="Cambria" w:eastAsia="Times New Roman" w:hAnsi="Cambria"/>
                <w:sz w:val="22"/>
                <w:szCs w:val="22"/>
              </w:rPr>
            </w:pPr>
          </w:p>
          <w:p w14:paraId="64806D5E" w14:textId="6445073F" w:rsidR="00B4309F" w:rsidRDefault="00B4309F" w:rsidP="00FD0561">
            <w:pPr>
              <w:rPr>
                <w:rFonts w:ascii="Cambria" w:eastAsia="Times New Roman" w:hAnsi="Cambria"/>
                <w:sz w:val="22"/>
                <w:szCs w:val="22"/>
              </w:rPr>
            </w:pPr>
            <w:r>
              <w:rPr>
                <w:rFonts w:ascii="Cambria" w:eastAsia="Times New Roman" w:hAnsi="Cambria"/>
                <w:sz w:val="22"/>
                <w:szCs w:val="22"/>
              </w:rPr>
              <w:t>*</w:t>
            </w:r>
            <w:r w:rsidR="00C12CCF">
              <w:rPr>
                <w:rFonts w:ascii="Cambria" w:eastAsia="Times New Roman" w:hAnsi="Cambria"/>
                <w:sz w:val="22"/>
                <w:szCs w:val="22"/>
              </w:rPr>
              <w:t xml:space="preserve"> </w:t>
            </w:r>
            <w:r>
              <w:rPr>
                <w:rFonts w:ascii="Cambria" w:eastAsia="Times New Roman" w:hAnsi="Cambria"/>
                <w:sz w:val="22"/>
                <w:szCs w:val="22"/>
              </w:rPr>
              <w:t xml:space="preserve">Travel </w:t>
            </w:r>
            <w:r w:rsidR="00C12CCF">
              <w:rPr>
                <w:rFonts w:ascii="Cambria" w:eastAsia="Times New Roman" w:hAnsi="Cambria"/>
                <w:sz w:val="22"/>
                <w:szCs w:val="22"/>
              </w:rPr>
              <w:t>dates are as</w:t>
            </w:r>
            <w:r>
              <w:rPr>
                <w:rFonts w:ascii="Cambria" w:eastAsia="Times New Roman" w:hAnsi="Cambria"/>
                <w:sz w:val="22"/>
                <w:szCs w:val="22"/>
              </w:rPr>
              <w:t xml:space="preserve"> yet unknow</w:t>
            </w:r>
            <w:r w:rsidR="00C12CCF">
              <w:rPr>
                <w:rFonts w:ascii="Cambria" w:eastAsia="Times New Roman" w:hAnsi="Cambria"/>
                <w:sz w:val="22"/>
                <w:szCs w:val="22"/>
              </w:rPr>
              <w:t>n. The consultant should be a</w:t>
            </w:r>
            <w:r w:rsidR="00C12CCF" w:rsidRPr="00C12CCF">
              <w:rPr>
                <w:rFonts w:ascii="Cambria" w:eastAsia="Times New Roman" w:hAnsi="Cambria"/>
                <w:sz w:val="22"/>
                <w:szCs w:val="22"/>
              </w:rPr>
              <w:t>vailab</w:t>
            </w:r>
            <w:r w:rsidR="00C12CCF">
              <w:rPr>
                <w:rFonts w:ascii="Cambria" w:eastAsia="Times New Roman" w:hAnsi="Cambria"/>
                <w:sz w:val="22"/>
                <w:szCs w:val="22"/>
              </w:rPr>
              <w:t>le</w:t>
            </w:r>
            <w:r w:rsidR="00C12CCF" w:rsidRPr="00C12CCF">
              <w:rPr>
                <w:rFonts w:ascii="Cambria" w:eastAsia="Times New Roman" w:hAnsi="Cambria"/>
                <w:sz w:val="22"/>
                <w:szCs w:val="22"/>
              </w:rPr>
              <w:t xml:space="preserve"> to travel to Songdo, South Korea, for data collection (5 days) and to finalize the factual draft of the evaluation report (two days) within the timeline of the evaluation.</w:t>
            </w:r>
            <w:r w:rsidR="00C12CCF">
              <w:rPr>
                <w:rFonts w:ascii="Cambria" w:eastAsia="Times New Roman" w:hAnsi="Cambria"/>
                <w:sz w:val="22"/>
                <w:szCs w:val="22"/>
              </w:rPr>
              <w:t xml:space="preserve"> </w:t>
            </w:r>
            <w:r w:rsidR="00004005">
              <w:rPr>
                <w:rFonts w:ascii="Cambria" w:eastAsia="Times New Roman" w:hAnsi="Cambria"/>
                <w:sz w:val="22"/>
                <w:szCs w:val="22"/>
              </w:rPr>
              <w:t>Reimbursable</w:t>
            </w:r>
            <w:r w:rsidR="00004005">
              <w:rPr>
                <w:rFonts w:ascii="Cambria" w:eastAsia="Times New Roman" w:hAnsi="Cambria"/>
                <w:sz w:val="22"/>
                <w:szCs w:val="22"/>
              </w:rPr>
              <w:t xml:space="preserve"> </w:t>
            </w:r>
            <w:r w:rsidR="00C12CCF">
              <w:rPr>
                <w:rFonts w:ascii="Cambria" w:eastAsia="Times New Roman" w:hAnsi="Cambria"/>
                <w:sz w:val="22"/>
                <w:szCs w:val="22"/>
              </w:rPr>
              <w:t xml:space="preserve">travel costs fall outside the scope of the costs of this consultancy assignment. </w:t>
            </w:r>
          </w:p>
          <w:p w14:paraId="7E8705FE" w14:textId="28E025F0" w:rsidR="00C12CCF" w:rsidRDefault="00C12CCF" w:rsidP="00FD0561">
            <w:pPr>
              <w:rPr>
                <w:rFonts w:ascii="Cambria" w:hAnsi="Cambria" w:cs="Arial"/>
                <w:sz w:val="22"/>
                <w:szCs w:val="22"/>
              </w:rPr>
            </w:pPr>
          </w:p>
        </w:tc>
      </w:tr>
    </w:tbl>
    <w:p w14:paraId="0B145148" w14:textId="77777777" w:rsidR="00B4309F" w:rsidRPr="00B4309F" w:rsidRDefault="00B4309F"/>
    <w:sectPr w:rsidR="00B4309F" w:rsidRPr="00B4309F" w:rsidSect="00B4309F">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2D1"/>
    <w:multiLevelType w:val="multilevel"/>
    <w:tmpl w:val="9CA01846"/>
    <w:lvl w:ilvl="0">
      <w:start w:val="1"/>
      <w:numFmt w:val="decimal"/>
      <w:lvlText w:val="%1."/>
      <w:lvlJc w:val="left"/>
      <w:pPr>
        <w:tabs>
          <w:tab w:val="num" w:pos="720"/>
        </w:tabs>
        <w:ind w:left="720" w:hanging="360"/>
      </w:pPr>
      <w:rPr>
        <w:rFonts w:ascii="Cambria" w:hAnsi="Cambria"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94334"/>
    <w:multiLevelType w:val="multilevel"/>
    <w:tmpl w:val="D032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345601">
    <w:abstractNumId w:val="1"/>
  </w:num>
  <w:num w:numId="2" w16cid:durableId="74314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trackRevision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3NDUzMTeyMDS3NLVQ0lEKTi0uzszPAykwrAUACqvrZCwAAAA="/>
  </w:docVars>
  <w:rsids>
    <w:rsidRoot w:val="00B4309F"/>
    <w:rsid w:val="000008A3"/>
    <w:rsid w:val="00004005"/>
    <w:rsid w:val="000E73B5"/>
    <w:rsid w:val="00191B6E"/>
    <w:rsid w:val="004D283B"/>
    <w:rsid w:val="005643DB"/>
    <w:rsid w:val="005A199C"/>
    <w:rsid w:val="005F6C78"/>
    <w:rsid w:val="007627CB"/>
    <w:rsid w:val="007C158F"/>
    <w:rsid w:val="00895DA5"/>
    <w:rsid w:val="00945505"/>
    <w:rsid w:val="00985F87"/>
    <w:rsid w:val="00A376B8"/>
    <w:rsid w:val="00A43A61"/>
    <w:rsid w:val="00A92770"/>
    <w:rsid w:val="00B4309F"/>
    <w:rsid w:val="00C12CCF"/>
    <w:rsid w:val="00C22D2A"/>
    <w:rsid w:val="00C72CC5"/>
    <w:rsid w:val="00F207BA"/>
    <w:rsid w:val="00F43E3B"/>
    <w:rsid w:val="00FD2C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9F59"/>
  <w15:chartTrackingRefBased/>
  <w15:docId w15:val="{BFB94312-B6BD-418B-9D5B-58AB35FB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9F"/>
    <w:pPr>
      <w:spacing w:after="0" w:line="240" w:lineRule="auto"/>
    </w:pPr>
    <w:rPr>
      <w:rFonts w:ascii="Book Antiqua" w:eastAsia="Batang" w:hAnsi="Book Antiqua" w:cs="Times New Roman"/>
      <w:kern w:val="0"/>
      <w:sz w:val="20"/>
      <w:szCs w:val="20"/>
      <w:lang w:eastAsia="en-US"/>
      <w14:ligatures w14:val="none"/>
    </w:rPr>
  </w:style>
  <w:style w:type="paragraph" w:styleId="Heading1">
    <w:name w:val="heading 1"/>
    <w:basedOn w:val="Normal"/>
    <w:next w:val="Normal"/>
    <w:link w:val="Heading1Char"/>
    <w:uiPriority w:val="9"/>
    <w:qFormat/>
    <w:rsid w:val="00B43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0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0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0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0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09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4309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4309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4309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4309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4309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4309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4309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4309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43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09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43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09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4309F"/>
    <w:pPr>
      <w:spacing w:before="160"/>
      <w:jc w:val="center"/>
    </w:pPr>
    <w:rPr>
      <w:i/>
      <w:iCs/>
      <w:color w:val="404040" w:themeColor="text1" w:themeTint="BF"/>
    </w:rPr>
  </w:style>
  <w:style w:type="character" w:customStyle="1" w:styleId="QuoteChar">
    <w:name w:val="Quote Char"/>
    <w:basedOn w:val="DefaultParagraphFont"/>
    <w:link w:val="Quote"/>
    <w:uiPriority w:val="29"/>
    <w:rsid w:val="00B4309F"/>
    <w:rPr>
      <w:i/>
      <w:iCs/>
      <w:color w:val="404040" w:themeColor="text1" w:themeTint="BF"/>
      <w:lang w:val="en-GB"/>
    </w:rPr>
  </w:style>
  <w:style w:type="paragraph" w:styleId="ListParagraph">
    <w:name w:val="List Paragraph"/>
    <w:basedOn w:val="Normal"/>
    <w:link w:val="ListParagraphChar"/>
    <w:uiPriority w:val="34"/>
    <w:qFormat/>
    <w:rsid w:val="00B4309F"/>
    <w:pPr>
      <w:ind w:left="720"/>
      <w:contextualSpacing/>
    </w:pPr>
  </w:style>
  <w:style w:type="character" w:styleId="IntenseEmphasis">
    <w:name w:val="Intense Emphasis"/>
    <w:basedOn w:val="DefaultParagraphFont"/>
    <w:uiPriority w:val="21"/>
    <w:qFormat/>
    <w:rsid w:val="00B4309F"/>
    <w:rPr>
      <w:i/>
      <w:iCs/>
      <w:color w:val="0F4761" w:themeColor="accent1" w:themeShade="BF"/>
    </w:rPr>
  </w:style>
  <w:style w:type="paragraph" w:styleId="IntenseQuote">
    <w:name w:val="Intense Quote"/>
    <w:basedOn w:val="Normal"/>
    <w:next w:val="Normal"/>
    <w:link w:val="IntenseQuoteChar"/>
    <w:uiPriority w:val="30"/>
    <w:qFormat/>
    <w:rsid w:val="00B43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09F"/>
    <w:rPr>
      <w:i/>
      <w:iCs/>
      <w:color w:val="0F4761" w:themeColor="accent1" w:themeShade="BF"/>
      <w:lang w:val="en-GB"/>
    </w:rPr>
  </w:style>
  <w:style w:type="character" w:styleId="IntenseReference">
    <w:name w:val="Intense Reference"/>
    <w:basedOn w:val="DefaultParagraphFont"/>
    <w:uiPriority w:val="32"/>
    <w:qFormat/>
    <w:rsid w:val="00B4309F"/>
    <w:rPr>
      <w:b/>
      <w:bCs/>
      <w:smallCaps/>
      <w:color w:val="0F4761" w:themeColor="accent1" w:themeShade="BF"/>
      <w:spacing w:val="5"/>
    </w:rPr>
  </w:style>
  <w:style w:type="paragraph" w:customStyle="1" w:styleId="Default">
    <w:name w:val="Default"/>
    <w:rsid w:val="00B4309F"/>
    <w:pPr>
      <w:autoSpaceDE w:val="0"/>
      <w:autoSpaceDN w:val="0"/>
      <w:adjustRightInd w:val="0"/>
      <w:spacing w:after="0" w:line="240" w:lineRule="auto"/>
    </w:pPr>
    <w:rPr>
      <w:rFonts w:ascii="Cambria" w:eastAsia="Batang" w:hAnsi="Cambria" w:cs="Cambria"/>
      <w:color w:val="000000"/>
      <w:kern w:val="0"/>
      <w:sz w:val="24"/>
      <w:szCs w:val="24"/>
      <w:lang w:eastAsia="en-GB"/>
      <w14:ligatures w14:val="none"/>
    </w:rPr>
  </w:style>
  <w:style w:type="character" w:customStyle="1" w:styleId="ListParagraphChar">
    <w:name w:val="List Paragraph Char"/>
    <w:basedOn w:val="DefaultParagraphFont"/>
    <w:link w:val="ListParagraph"/>
    <w:uiPriority w:val="34"/>
    <w:rsid w:val="00B4309F"/>
    <w:rPr>
      <w:lang w:val="en-GB"/>
    </w:rPr>
  </w:style>
  <w:style w:type="character" w:customStyle="1" w:styleId="normaltextrun">
    <w:name w:val="normaltextrun"/>
    <w:basedOn w:val="DefaultParagraphFont"/>
    <w:rsid w:val="00B4309F"/>
  </w:style>
  <w:style w:type="paragraph" w:styleId="Revision">
    <w:name w:val="Revision"/>
    <w:hidden/>
    <w:uiPriority w:val="99"/>
    <w:semiHidden/>
    <w:rsid w:val="005F6C78"/>
    <w:pPr>
      <w:spacing w:after="0" w:line="240" w:lineRule="auto"/>
    </w:pPr>
    <w:rPr>
      <w:rFonts w:ascii="Book Antiqua" w:eastAsia="Batang" w:hAnsi="Book Antiqua" w:cs="Times New Roman"/>
      <w:kern w:val="0"/>
      <w:sz w:val="20"/>
      <w:szCs w:val="20"/>
      <w:lang w:eastAsia="en-US"/>
      <w14:ligatures w14:val="none"/>
    </w:rPr>
  </w:style>
  <w:style w:type="character" w:styleId="CommentReference">
    <w:name w:val="annotation reference"/>
    <w:basedOn w:val="DefaultParagraphFont"/>
    <w:uiPriority w:val="99"/>
    <w:semiHidden/>
    <w:unhideWhenUsed/>
    <w:rsid w:val="005F6C78"/>
    <w:rPr>
      <w:sz w:val="16"/>
      <w:szCs w:val="16"/>
    </w:rPr>
  </w:style>
  <w:style w:type="paragraph" w:styleId="CommentText">
    <w:name w:val="annotation text"/>
    <w:basedOn w:val="Normal"/>
    <w:link w:val="CommentTextChar"/>
    <w:uiPriority w:val="99"/>
    <w:semiHidden/>
    <w:unhideWhenUsed/>
    <w:rsid w:val="005F6C78"/>
  </w:style>
  <w:style w:type="character" w:customStyle="1" w:styleId="CommentTextChar">
    <w:name w:val="Comment Text Char"/>
    <w:basedOn w:val="DefaultParagraphFont"/>
    <w:link w:val="CommentText"/>
    <w:uiPriority w:val="99"/>
    <w:semiHidden/>
    <w:rsid w:val="005F6C78"/>
    <w:rPr>
      <w:rFonts w:ascii="Book Antiqua" w:eastAsia="Batang" w:hAnsi="Book Antiqua"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5F6C78"/>
    <w:rPr>
      <w:b/>
      <w:bCs/>
    </w:rPr>
  </w:style>
  <w:style w:type="character" w:customStyle="1" w:styleId="CommentSubjectChar">
    <w:name w:val="Comment Subject Char"/>
    <w:basedOn w:val="CommentTextChar"/>
    <w:link w:val="CommentSubject"/>
    <w:uiPriority w:val="99"/>
    <w:semiHidden/>
    <w:rsid w:val="005F6C78"/>
    <w:rPr>
      <w:rFonts w:ascii="Book Antiqua" w:eastAsia="Batang" w:hAnsi="Book Antiqua" w:cs="Times New Roman"/>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9cd1e-279a-4857-b266-bf5324919f21">
      <Terms xmlns="http://schemas.microsoft.com/office/infopath/2007/PartnerControls"/>
    </lcf76f155ced4ddcb4097134ff3c332f>
    <TaxCatchAll xmlns="a63097e1-4f01-40e2-beb0-7336125126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0D82B1361A0418E053D8B2474CE9E" ma:contentTypeVersion="15" ma:contentTypeDescription="Create a new document." ma:contentTypeScope="" ma:versionID="61be3c50b9c863a2e5488a4d4ca6bec8">
  <xsd:schema xmlns:xsd="http://www.w3.org/2001/XMLSchema" xmlns:xs="http://www.w3.org/2001/XMLSchema" xmlns:p="http://schemas.microsoft.com/office/2006/metadata/properties" xmlns:ns2="8619cd1e-279a-4857-b266-bf5324919f21" xmlns:ns3="a63097e1-4f01-40e2-beb0-7336125126aa" targetNamespace="http://schemas.microsoft.com/office/2006/metadata/properties" ma:root="true" ma:fieldsID="9a0a0757f08f790430d0fe12b9161b37" ns2:_="" ns3:_="">
    <xsd:import namespace="8619cd1e-279a-4857-b266-bf5324919f21"/>
    <xsd:import namespace="a63097e1-4f01-40e2-beb0-7336125126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cd1e-279a-4857-b266-bf5324919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097e1-4f01-40e2-beb0-7336125126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69962b-b1b3-48e3-b289-c3a5c51113fa}" ma:internalName="TaxCatchAll" ma:showField="CatchAllData" ma:web="a63097e1-4f01-40e2-beb0-7336125126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E7527-0BBD-488D-88AC-450A77BE8BEC}">
  <ds:schemaRefs>
    <ds:schemaRef ds:uri="http://schemas.microsoft.com/sharepoint/v3/contenttype/forms"/>
  </ds:schemaRefs>
</ds:datastoreItem>
</file>

<file path=customXml/itemProps2.xml><?xml version="1.0" encoding="utf-8"?>
<ds:datastoreItem xmlns:ds="http://schemas.openxmlformats.org/officeDocument/2006/customXml" ds:itemID="{143DCEDA-1305-4689-8DCE-80FACC0289A3}">
  <ds:schemaRefs>
    <ds:schemaRef ds:uri="http://schemas.microsoft.com/office/2006/metadata/properties"/>
    <ds:schemaRef ds:uri="http://schemas.microsoft.com/office/infopath/2007/PartnerControls"/>
    <ds:schemaRef ds:uri="8619cd1e-279a-4857-b266-bf5324919f21"/>
    <ds:schemaRef ds:uri="a63097e1-4f01-40e2-beb0-7336125126aa"/>
  </ds:schemaRefs>
</ds:datastoreItem>
</file>

<file path=customXml/itemProps3.xml><?xml version="1.0" encoding="utf-8"?>
<ds:datastoreItem xmlns:ds="http://schemas.openxmlformats.org/officeDocument/2006/customXml" ds:itemID="{115AD5FE-E6B8-4F4E-9BF3-6E368B7E0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9cd1e-279a-4857-b266-bf5324919f21"/>
    <ds:schemaRef ds:uri="a63097e1-4f01-40e2-beb0-733612512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Ngau</dc:creator>
  <cp:keywords/>
  <dc:description/>
  <cp:lastModifiedBy>Martin Prowse</cp:lastModifiedBy>
  <cp:revision>2</cp:revision>
  <dcterms:created xsi:type="dcterms:W3CDTF">2024-11-26T00:47:00Z</dcterms:created>
  <dcterms:modified xsi:type="dcterms:W3CDTF">2024-11-26T00:47:00Z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0x01010081C0D82B1361A0418E053D8B2474CE9E</vt:lpwstr>
  </property>
  <property fmtid="{D5CDD505-2E9C-101B-9397-08002B2CF9AE}" pid="4" name="_ExtendedDescription">
    <vt:lpwstr/>
  </property>
</Properties>
</file>